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C8CC4" w14:textId="77777777" w:rsidR="00BE4E1C" w:rsidRDefault="00BE4E1C" w:rsidP="00E14275">
      <w:pPr>
        <w:jc w:val="center"/>
        <w:rPr>
          <w:rFonts w:ascii="黑体" w:eastAsia="黑体" w:hAnsi="黑体"/>
          <w:b/>
          <w:bCs/>
          <w:sz w:val="32"/>
          <w:szCs w:val="32"/>
        </w:rPr>
      </w:pPr>
    </w:p>
    <w:p w14:paraId="1644AA80" w14:textId="77777777" w:rsidR="00BE4E1C" w:rsidRDefault="00BE4E1C" w:rsidP="00E14275">
      <w:pPr>
        <w:jc w:val="center"/>
        <w:rPr>
          <w:rFonts w:ascii="黑体" w:eastAsia="黑体" w:hAnsi="黑体"/>
          <w:b/>
          <w:bCs/>
          <w:sz w:val="32"/>
          <w:szCs w:val="32"/>
        </w:rPr>
      </w:pPr>
    </w:p>
    <w:p w14:paraId="6EAC1B3E" w14:textId="22C5B886" w:rsidR="0069109A" w:rsidRPr="00E14275" w:rsidRDefault="00E14275" w:rsidP="00E14275">
      <w:pPr>
        <w:jc w:val="center"/>
        <w:rPr>
          <w:rFonts w:ascii="黑体" w:eastAsia="黑体" w:hAnsi="黑体"/>
          <w:b/>
          <w:bCs/>
          <w:sz w:val="32"/>
          <w:szCs w:val="32"/>
        </w:rPr>
      </w:pPr>
      <w:r w:rsidRPr="00E14275">
        <w:rPr>
          <w:rFonts w:ascii="黑体" w:eastAsia="黑体" w:hAnsi="黑体" w:hint="eastAsia"/>
          <w:b/>
          <w:bCs/>
          <w:sz w:val="32"/>
          <w:szCs w:val="32"/>
        </w:rPr>
        <w:t>《</w:t>
      </w:r>
      <w:r w:rsidR="00C679BB" w:rsidRPr="00C679BB">
        <w:rPr>
          <w:rFonts w:ascii="黑体" w:eastAsia="黑体" w:hAnsi="黑体"/>
          <w:b/>
          <w:bCs/>
          <w:sz w:val="32"/>
          <w:szCs w:val="32"/>
        </w:rPr>
        <w:t>水稻实质性派生品种鉴定 全基因组测序法</w:t>
      </w:r>
      <w:r w:rsidRPr="00E14275">
        <w:rPr>
          <w:rFonts w:ascii="黑体" w:eastAsia="黑体" w:hAnsi="黑体" w:hint="eastAsia"/>
          <w:b/>
          <w:bCs/>
          <w:sz w:val="32"/>
          <w:szCs w:val="32"/>
        </w:rPr>
        <w:t>》</w:t>
      </w:r>
    </w:p>
    <w:p w14:paraId="6885A3C9" w14:textId="1713E1E9" w:rsidR="00E545EB" w:rsidRPr="00E14275" w:rsidRDefault="00E14275" w:rsidP="00E14275">
      <w:pPr>
        <w:jc w:val="center"/>
        <w:rPr>
          <w:rFonts w:ascii="黑体" w:eastAsia="黑体" w:hAnsi="黑体"/>
          <w:b/>
          <w:bCs/>
          <w:sz w:val="32"/>
          <w:szCs w:val="32"/>
        </w:rPr>
      </w:pPr>
      <w:r w:rsidRPr="00E14275">
        <w:rPr>
          <w:rFonts w:ascii="黑体" w:eastAsia="黑体" w:hAnsi="黑体" w:hint="eastAsia"/>
          <w:b/>
          <w:bCs/>
          <w:sz w:val="32"/>
          <w:szCs w:val="32"/>
        </w:rPr>
        <w:t xml:space="preserve">农业行业标准 </w:t>
      </w:r>
      <w:r w:rsidR="00963B15" w:rsidRPr="00E14275">
        <w:rPr>
          <w:rFonts w:ascii="黑体" w:eastAsia="黑体" w:hAnsi="黑体" w:hint="eastAsia"/>
          <w:b/>
          <w:bCs/>
          <w:sz w:val="32"/>
          <w:szCs w:val="32"/>
        </w:rPr>
        <w:t>编制说明</w:t>
      </w:r>
    </w:p>
    <w:p w14:paraId="14BA484D" w14:textId="77777777" w:rsidR="00E14275" w:rsidRDefault="00E14275" w:rsidP="00AB04C6">
      <w:pPr>
        <w:jc w:val="center"/>
        <w:rPr>
          <w:rFonts w:ascii="黑体" w:eastAsia="黑体" w:hAnsi="黑体"/>
          <w:b/>
          <w:bCs/>
          <w:sz w:val="32"/>
          <w:szCs w:val="32"/>
        </w:rPr>
      </w:pPr>
    </w:p>
    <w:p w14:paraId="0E3BDB3A" w14:textId="77777777" w:rsidR="00BE4E1C" w:rsidRDefault="00BE4E1C" w:rsidP="00AB04C6">
      <w:pPr>
        <w:jc w:val="center"/>
        <w:rPr>
          <w:rFonts w:ascii="黑体" w:eastAsia="黑体" w:hAnsi="黑体"/>
          <w:b/>
          <w:bCs/>
          <w:sz w:val="32"/>
          <w:szCs w:val="32"/>
        </w:rPr>
      </w:pPr>
    </w:p>
    <w:p w14:paraId="5BF2509E" w14:textId="77777777" w:rsidR="00BE4E1C" w:rsidRDefault="00BE4E1C" w:rsidP="00AB04C6">
      <w:pPr>
        <w:jc w:val="center"/>
        <w:rPr>
          <w:rFonts w:ascii="黑体" w:eastAsia="黑体" w:hAnsi="黑体"/>
          <w:b/>
          <w:bCs/>
          <w:sz w:val="32"/>
          <w:szCs w:val="32"/>
        </w:rPr>
      </w:pPr>
    </w:p>
    <w:p w14:paraId="68D9F6CF" w14:textId="77777777" w:rsidR="00BE4E1C" w:rsidRDefault="00BE4E1C" w:rsidP="00AB04C6">
      <w:pPr>
        <w:jc w:val="center"/>
        <w:rPr>
          <w:rFonts w:ascii="黑体" w:eastAsia="黑体" w:hAnsi="黑体"/>
          <w:b/>
          <w:bCs/>
          <w:sz w:val="32"/>
          <w:szCs w:val="32"/>
        </w:rPr>
      </w:pPr>
    </w:p>
    <w:p w14:paraId="29227D88" w14:textId="20CCE830" w:rsidR="00E14275" w:rsidRDefault="00E14275" w:rsidP="00E14275">
      <w:pPr>
        <w:rPr>
          <w:rFonts w:ascii="黑体" w:eastAsia="黑体" w:hAnsi="黑体"/>
          <w:b/>
          <w:bCs/>
          <w:sz w:val="32"/>
          <w:szCs w:val="32"/>
        </w:rPr>
      </w:pPr>
    </w:p>
    <w:p w14:paraId="675F580D" w14:textId="77777777" w:rsidR="00E14275" w:rsidRDefault="00E14275" w:rsidP="00E14275">
      <w:pPr>
        <w:rPr>
          <w:rFonts w:ascii="黑体" w:eastAsia="黑体" w:hAnsi="黑体"/>
          <w:b/>
          <w:bCs/>
          <w:sz w:val="32"/>
          <w:szCs w:val="32"/>
        </w:rPr>
      </w:pPr>
    </w:p>
    <w:tbl>
      <w:tblPr>
        <w:tblStyle w:val="afa"/>
        <w:tblW w:w="80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497"/>
        <w:gridCol w:w="6013"/>
      </w:tblGrid>
      <w:tr w:rsidR="00C679BB" w:rsidRPr="00A75F96" w14:paraId="770053BE" w14:textId="77777777" w:rsidTr="00C679BB">
        <w:tc>
          <w:tcPr>
            <w:tcW w:w="1560" w:type="dxa"/>
            <w:noWrap/>
          </w:tcPr>
          <w:p w14:paraId="796584D8" w14:textId="3D173B7B" w:rsidR="00C679BB" w:rsidRPr="00A75F96" w:rsidRDefault="00C679BB" w:rsidP="00C679BB">
            <w:pPr>
              <w:jc w:val="distribute"/>
              <w:rPr>
                <w:rFonts w:ascii="黑体" w:eastAsia="黑体" w:hAnsi="黑体"/>
                <w:b/>
                <w:bCs/>
                <w:sz w:val="32"/>
                <w:szCs w:val="32"/>
              </w:rPr>
            </w:pPr>
            <w:r w:rsidRPr="00A75F96">
              <w:rPr>
                <w:rFonts w:ascii="黑体" w:eastAsia="黑体" w:hAnsi="黑体"/>
                <w:b/>
                <w:bCs/>
                <w:sz w:val="28"/>
                <w:szCs w:val="28"/>
              </w:rPr>
              <w:t>起草单位</w:t>
            </w:r>
          </w:p>
        </w:tc>
        <w:tc>
          <w:tcPr>
            <w:tcW w:w="497" w:type="dxa"/>
            <w:vAlign w:val="center"/>
          </w:tcPr>
          <w:p w14:paraId="02E536E5" w14:textId="6DC1AC29" w:rsidR="00C679BB" w:rsidRPr="00C679BB" w:rsidRDefault="00C679BB" w:rsidP="00C679BB">
            <w:pPr>
              <w:ind w:rightChars="-82" w:right="-197" w:firstLine="1"/>
              <w:jc w:val="both"/>
              <w:rPr>
                <w:rFonts w:ascii="黑体" w:eastAsia="黑体" w:hAnsi="黑体"/>
                <w:b/>
                <w:bCs/>
                <w:sz w:val="28"/>
                <w:szCs w:val="28"/>
              </w:rPr>
            </w:pPr>
            <w:r w:rsidRPr="008320BF">
              <w:rPr>
                <w:rFonts w:ascii="黑体" w:eastAsia="黑体" w:hAnsi="黑体" w:hint="eastAsia"/>
                <w:b/>
                <w:bCs/>
                <w:sz w:val="28"/>
                <w:szCs w:val="28"/>
              </w:rPr>
              <w:t>：</w:t>
            </w:r>
          </w:p>
        </w:tc>
        <w:tc>
          <w:tcPr>
            <w:tcW w:w="6013" w:type="dxa"/>
            <w:noWrap/>
            <w:vAlign w:val="center"/>
          </w:tcPr>
          <w:p w14:paraId="471F7DC7" w14:textId="26BA26C5" w:rsidR="00C679BB" w:rsidRPr="00A75F96" w:rsidRDefault="00C679BB" w:rsidP="00C679BB">
            <w:pPr>
              <w:ind w:rightChars="-82" w:right="-197"/>
              <w:jc w:val="center"/>
              <w:rPr>
                <w:rFonts w:ascii="黑体" w:eastAsia="黑体" w:hAnsi="黑体"/>
              </w:rPr>
            </w:pPr>
            <w:bookmarkStart w:id="0" w:name="_Hlk199164059"/>
            <w:r w:rsidRPr="00A75F96">
              <w:rPr>
                <w:rFonts w:ascii="黑体" w:eastAsia="黑体" w:hAnsi="黑体" w:hint="eastAsia"/>
              </w:rPr>
              <w:t>中国农业科学院农业基因组研究所</w:t>
            </w:r>
          </w:p>
          <w:p w14:paraId="46A65B10" w14:textId="40E34CB0" w:rsidR="00C679BB" w:rsidRPr="00A75F96" w:rsidRDefault="00C679BB" w:rsidP="00C679BB">
            <w:pPr>
              <w:jc w:val="center"/>
              <w:rPr>
                <w:rFonts w:ascii="黑体" w:eastAsia="黑体" w:hAnsi="黑体"/>
              </w:rPr>
            </w:pPr>
            <w:r w:rsidRPr="00A75F96">
              <w:rPr>
                <w:rFonts w:ascii="黑体" w:eastAsia="黑体" w:hAnsi="黑体" w:hint="eastAsia"/>
              </w:rPr>
              <w:t>（岭南现代农业科学与技术广东省实验室深圳分中心）</w:t>
            </w:r>
            <w:bookmarkEnd w:id="0"/>
          </w:p>
        </w:tc>
      </w:tr>
      <w:tr w:rsidR="00C679BB" w:rsidRPr="00A75F96" w14:paraId="6E914A64" w14:textId="77777777" w:rsidTr="00C679BB">
        <w:trPr>
          <w:trHeight w:val="564"/>
        </w:trPr>
        <w:tc>
          <w:tcPr>
            <w:tcW w:w="1560" w:type="dxa"/>
            <w:noWrap/>
          </w:tcPr>
          <w:p w14:paraId="6299A58B" w14:textId="22B099EB" w:rsidR="00C679BB" w:rsidRPr="00A75F96" w:rsidRDefault="00C679BB" w:rsidP="00C679BB">
            <w:pPr>
              <w:jc w:val="distribute"/>
              <w:rPr>
                <w:rFonts w:ascii="黑体" w:eastAsia="黑体" w:hAnsi="黑体"/>
                <w:b/>
                <w:bCs/>
                <w:sz w:val="28"/>
                <w:szCs w:val="28"/>
              </w:rPr>
            </w:pPr>
            <w:r w:rsidRPr="00E14275">
              <w:rPr>
                <w:rFonts w:ascii="黑体" w:eastAsia="黑体" w:hAnsi="黑体"/>
                <w:b/>
                <w:bCs/>
                <w:sz w:val="28"/>
                <w:szCs w:val="28"/>
              </w:rPr>
              <w:t>负责人</w:t>
            </w:r>
          </w:p>
        </w:tc>
        <w:tc>
          <w:tcPr>
            <w:tcW w:w="497" w:type="dxa"/>
            <w:vAlign w:val="center"/>
          </w:tcPr>
          <w:p w14:paraId="4051B8A8" w14:textId="096D316F" w:rsidR="00C679BB" w:rsidRPr="00C679BB" w:rsidRDefault="00C679BB" w:rsidP="00C679BB">
            <w:pPr>
              <w:jc w:val="both"/>
              <w:rPr>
                <w:rFonts w:ascii="黑体" w:eastAsia="黑体" w:hAnsi="黑体"/>
                <w:b/>
                <w:bCs/>
                <w:sz w:val="28"/>
                <w:szCs w:val="28"/>
              </w:rPr>
            </w:pPr>
            <w:r w:rsidRPr="00C679BB">
              <w:rPr>
                <w:rFonts w:ascii="黑体" w:eastAsia="黑体" w:hAnsi="黑体" w:hint="eastAsia"/>
                <w:b/>
                <w:bCs/>
                <w:sz w:val="28"/>
                <w:szCs w:val="28"/>
              </w:rPr>
              <w:t>：</w:t>
            </w:r>
          </w:p>
        </w:tc>
        <w:tc>
          <w:tcPr>
            <w:tcW w:w="6013" w:type="dxa"/>
            <w:noWrap/>
            <w:vAlign w:val="center"/>
          </w:tcPr>
          <w:p w14:paraId="3B70B9B6" w14:textId="2E77ADC2" w:rsidR="00C679BB" w:rsidRPr="00C679BB" w:rsidRDefault="00C679BB" w:rsidP="00C679BB">
            <w:pPr>
              <w:jc w:val="center"/>
              <w:rPr>
                <w:rFonts w:ascii="黑体" w:eastAsia="黑体" w:hAnsi="黑体"/>
                <w:sz w:val="28"/>
                <w:szCs w:val="28"/>
              </w:rPr>
            </w:pPr>
            <w:r w:rsidRPr="00C679BB">
              <w:rPr>
                <w:rFonts w:ascii="黑体" w:eastAsia="黑体" w:hAnsi="黑体" w:hint="eastAsia"/>
                <w:sz w:val="28"/>
                <w:szCs w:val="28"/>
              </w:rPr>
              <w:t>林强</w:t>
            </w:r>
          </w:p>
        </w:tc>
      </w:tr>
      <w:tr w:rsidR="00C679BB" w:rsidRPr="00A75F96" w14:paraId="3A4CFFAB" w14:textId="77777777" w:rsidTr="00C679BB">
        <w:tc>
          <w:tcPr>
            <w:tcW w:w="1560" w:type="dxa"/>
            <w:noWrap/>
          </w:tcPr>
          <w:p w14:paraId="56DFBEE9" w14:textId="6C0D9739" w:rsidR="00C679BB" w:rsidRPr="00A75F96" w:rsidRDefault="00C679BB" w:rsidP="00C679BB">
            <w:pPr>
              <w:jc w:val="distribute"/>
              <w:rPr>
                <w:rFonts w:ascii="黑体" w:eastAsia="黑体" w:hAnsi="黑体"/>
                <w:b/>
                <w:bCs/>
                <w:sz w:val="28"/>
                <w:szCs w:val="28"/>
              </w:rPr>
            </w:pPr>
            <w:r w:rsidRPr="00E14275">
              <w:rPr>
                <w:rFonts w:ascii="黑体" w:eastAsia="黑体" w:hAnsi="黑体"/>
                <w:b/>
                <w:bCs/>
                <w:sz w:val="28"/>
                <w:szCs w:val="28"/>
              </w:rPr>
              <w:t>联系电话</w:t>
            </w:r>
          </w:p>
        </w:tc>
        <w:tc>
          <w:tcPr>
            <w:tcW w:w="497" w:type="dxa"/>
            <w:vAlign w:val="center"/>
          </w:tcPr>
          <w:p w14:paraId="381AD73F" w14:textId="7A19F7DB" w:rsidR="00C679BB" w:rsidRPr="00C679BB" w:rsidRDefault="00C679BB" w:rsidP="00C679BB">
            <w:pPr>
              <w:jc w:val="both"/>
              <w:rPr>
                <w:rFonts w:ascii="黑体" w:eastAsia="黑体" w:hAnsi="黑体"/>
                <w:b/>
                <w:bCs/>
                <w:sz w:val="28"/>
                <w:szCs w:val="28"/>
              </w:rPr>
            </w:pPr>
            <w:r w:rsidRPr="00C679BB">
              <w:rPr>
                <w:rFonts w:ascii="黑体" w:eastAsia="黑体" w:hAnsi="黑体" w:hint="eastAsia"/>
                <w:b/>
                <w:bCs/>
                <w:sz w:val="28"/>
                <w:szCs w:val="28"/>
              </w:rPr>
              <w:t>：</w:t>
            </w:r>
          </w:p>
        </w:tc>
        <w:tc>
          <w:tcPr>
            <w:tcW w:w="6013" w:type="dxa"/>
            <w:noWrap/>
            <w:vAlign w:val="center"/>
          </w:tcPr>
          <w:p w14:paraId="60ABCFBA" w14:textId="1A25D2F6" w:rsidR="00C679BB" w:rsidRPr="00C679BB" w:rsidRDefault="00C679BB" w:rsidP="00C679BB">
            <w:pPr>
              <w:jc w:val="center"/>
              <w:rPr>
                <w:rFonts w:ascii="黑体" w:eastAsia="黑体" w:hAnsi="黑体"/>
                <w:sz w:val="28"/>
                <w:szCs w:val="28"/>
              </w:rPr>
            </w:pPr>
            <w:r w:rsidRPr="00C679BB">
              <w:rPr>
                <w:rFonts w:ascii="黑体" w:eastAsia="黑体" w:hAnsi="黑体" w:hint="eastAsia"/>
                <w:sz w:val="28"/>
                <w:szCs w:val="28"/>
              </w:rPr>
              <w:t>13025403962</w:t>
            </w:r>
          </w:p>
        </w:tc>
      </w:tr>
      <w:tr w:rsidR="00C679BB" w:rsidRPr="00A75F96" w14:paraId="288765C3" w14:textId="77777777" w:rsidTr="00C679BB">
        <w:tc>
          <w:tcPr>
            <w:tcW w:w="1560" w:type="dxa"/>
            <w:noWrap/>
          </w:tcPr>
          <w:p w14:paraId="36F90895" w14:textId="606F5127" w:rsidR="00C679BB" w:rsidRPr="00A75F96" w:rsidRDefault="00C679BB" w:rsidP="00C679BB">
            <w:pPr>
              <w:jc w:val="distribute"/>
              <w:rPr>
                <w:rFonts w:ascii="黑体" w:eastAsia="黑体" w:hAnsi="黑体"/>
                <w:b/>
                <w:bCs/>
                <w:sz w:val="28"/>
                <w:szCs w:val="28"/>
              </w:rPr>
            </w:pPr>
            <w:r w:rsidRPr="00E14275">
              <w:rPr>
                <w:rFonts w:ascii="黑体" w:eastAsia="黑体" w:hAnsi="黑体"/>
                <w:b/>
                <w:bCs/>
                <w:sz w:val="28"/>
                <w:szCs w:val="28"/>
              </w:rPr>
              <w:t>邮箱</w:t>
            </w:r>
          </w:p>
        </w:tc>
        <w:tc>
          <w:tcPr>
            <w:tcW w:w="497" w:type="dxa"/>
            <w:vAlign w:val="center"/>
          </w:tcPr>
          <w:p w14:paraId="086FFDB8" w14:textId="454A22FE" w:rsidR="00C679BB" w:rsidRPr="00C679BB" w:rsidRDefault="00C679BB" w:rsidP="00C679BB">
            <w:pPr>
              <w:jc w:val="both"/>
              <w:rPr>
                <w:rFonts w:ascii="黑体" w:eastAsia="黑体" w:hAnsi="黑体"/>
                <w:b/>
                <w:bCs/>
                <w:sz w:val="28"/>
                <w:szCs w:val="28"/>
              </w:rPr>
            </w:pPr>
            <w:r w:rsidRPr="00C679BB">
              <w:rPr>
                <w:rFonts w:ascii="黑体" w:eastAsia="黑体" w:hAnsi="黑体" w:hint="eastAsia"/>
                <w:b/>
                <w:bCs/>
                <w:sz w:val="28"/>
                <w:szCs w:val="28"/>
              </w:rPr>
              <w:t>：</w:t>
            </w:r>
          </w:p>
        </w:tc>
        <w:tc>
          <w:tcPr>
            <w:tcW w:w="6013" w:type="dxa"/>
            <w:noWrap/>
            <w:vAlign w:val="center"/>
          </w:tcPr>
          <w:p w14:paraId="0ACAFE38" w14:textId="78C06858" w:rsidR="00C679BB" w:rsidRPr="00C679BB" w:rsidRDefault="00C679BB" w:rsidP="00C679BB">
            <w:pPr>
              <w:jc w:val="center"/>
              <w:rPr>
                <w:rFonts w:ascii="黑体" w:eastAsia="黑体" w:hAnsi="黑体"/>
                <w:sz w:val="28"/>
                <w:szCs w:val="28"/>
              </w:rPr>
            </w:pPr>
            <w:r w:rsidRPr="00C679BB">
              <w:rPr>
                <w:rFonts w:ascii="黑体" w:eastAsia="黑体" w:hAnsi="黑体" w:hint="eastAsia"/>
                <w:sz w:val="28"/>
                <w:szCs w:val="28"/>
              </w:rPr>
              <w:t>linqiang@caas.cn</w:t>
            </w:r>
          </w:p>
        </w:tc>
      </w:tr>
    </w:tbl>
    <w:p w14:paraId="5C478450" w14:textId="77777777" w:rsidR="00E14275" w:rsidRDefault="00E14275" w:rsidP="00E14275">
      <w:pPr>
        <w:rPr>
          <w:rFonts w:ascii="黑体" w:eastAsia="黑体" w:hAnsi="黑体"/>
          <w:b/>
          <w:bCs/>
          <w:sz w:val="32"/>
          <w:szCs w:val="32"/>
        </w:rPr>
      </w:pPr>
    </w:p>
    <w:p w14:paraId="20FB382D" w14:textId="77777777" w:rsidR="00C679BB" w:rsidRDefault="00C679BB" w:rsidP="00BE4E1C">
      <w:pPr>
        <w:rPr>
          <w:rFonts w:ascii="Times New Roman" w:eastAsia="黑体" w:hAnsi="Times New Roman" w:cs="Times New Roman"/>
          <w:sz w:val="28"/>
        </w:rPr>
      </w:pPr>
    </w:p>
    <w:p w14:paraId="58B4EE5B" w14:textId="77777777" w:rsidR="00C679BB" w:rsidRDefault="00C679BB" w:rsidP="00AB04C6">
      <w:pPr>
        <w:jc w:val="center"/>
        <w:rPr>
          <w:rFonts w:ascii="Times New Roman" w:eastAsia="黑体" w:hAnsi="Times New Roman" w:cs="Times New Roman"/>
          <w:sz w:val="28"/>
        </w:rPr>
      </w:pPr>
    </w:p>
    <w:p w14:paraId="2A8E1369" w14:textId="77777777" w:rsidR="00E14275" w:rsidRDefault="00E14275" w:rsidP="00E14275">
      <w:pPr>
        <w:rPr>
          <w:rFonts w:ascii="Times New Roman" w:eastAsia="黑体" w:hAnsi="Times New Roman" w:cs="Times New Roman"/>
          <w:sz w:val="28"/>
        </w:rPr>
      </w:pPr>
    </w:p>
    <w:p w14:paraId="5AABE915" w14:textId="29893124" w:rsidR="00032854" w:rsidRPr="00032854" w:rsidRDefault="00032854" w:rsidP="00032854">
      <w:pPr>
        <w:jc w:val="center"/>
        <w:rPr>
          <w:rFonts w:ascii="黑体" w:eastAsia="黑体" w:hAnsi="黑体"/>
          <w:sz w:val="30"/>
          <w:szCs w:val="30"/>
        </w:rPr>
      </w:pPr>
      <w:r w:rsidRPr="00032854">
        <w:rPr>
          <w:rFonts w:ascii="黑体" w:eastAsia="黑体" w:hAnsi="黑体" w:hint="eastAsia"/>
          <w:sz w:val="30"/>
          <w:szCs w:val="30"/>
        </w:rPr>
        <w:t>中国农业科学院深农业基因组研究所</w:t>
      </w:r>
    </w:p>
    <w:p w14:paraId="2EE5D18D" w14:textId="77777777" w:rsidR="00032854" w:rsidRDefault="00032854" w:rsidP="00032854">
      <w:pPr>
        <w:jc w:val="center"/>
        <w:rPr>
          <w:rFonts w:ascii="黑体" w:eastAsia="黑体" w:hAnsi="黑体"/>
          <w:sz w:val="30"/>
          <w:szCs w:val="30"/>
        </w:rPr>
      </w:pPr>
      <w:r w:rsidRPr="00032854">
        <w:rPr>
          <w:rFonts w:ascii="黑体" w:eastAsia="黑体" w:hAnsi="黑体" w:hint="eastAsia"/>
          <w:sz w:val="30"/>
          <w:szCs w:val="30"/>
        </w:rPr>
        <w:t>（岭南现代农业科学与技术广东省实验室深圳分中心）</w:t>
      </w:r>
    </w:p>
    <w:p w14:paraId="2A620530" w14:textId="574BB356" w:rsidR="00E14275" w:rsidRDefault="00E14275" w:rsidP="00032854">
      <w:pPr>
        <w:jc w:val="center"/>
        <w:rPr>
          <w:rFonts w:ascii="黑体" w:eastAsia="黑体" w:hAnsi="黑体"/>
          <w:sz w:val="30"/>
          <w:szCs w:val="30"/>
        </w:rPr>
      </w:pPr>
      <w:r w:rsidRPr="00E14275">
        <w:rPr>
          <w:rFonts w:ascii="黑体" w:eastAsia="黑体" w:hAnsi="黑体" w:hint="eastAsia"/>
          <w:sz w:val="30"/>
          <w:szCs w:val="30"/>
        </w:rPr>
        <w:t>2025年</w:t>
      </w:r>
      <w:r w:rsidR="00C679BB">
        <w:rPr>
          <w:rFonts w:ascii="黑体" w:eastAsia="黑体" w:hAnsi="黑体" w:hint="eastAsia"/>
          <w:sz w:val="30"/>
          <w:szCs w:val="30"/>
        </w:rPr>
        <w:t>10</w:t>
      </w:r>
      <w:r w:rsidRPr="00E14275">
        <w:rPr>
          <w:rFonts w:ascii="黑体" w:eastAsia="黑体" w:hAnsi="黑体" w:hint="eastAsia"/>
          <w:sz w:val="30"/>
          <w:szCs w:val="30"/>
        </w:rPr>
        <w:t>月</w:t>
      </w:r>
    </w:p>
    <w:p w14:paraId="5FC10D72" w14:textId="77777777" w:rsidR="00C679BB" w:rsidRPr="00E14275" w:rsidRDefault="00C679BB" w:rsidP="00032854">
      <w:pPr>
        <w:jc w:val="center"/>
        <w:rPr>
          <w:rFonts w:ascii="黑体" w:eastAsia="黑体" w:hAnsi="黑体"/>
          <w:sz w:val="30"/>
          <w:szCs w:val="30"/>
        </w:rPr>
      </w:pPr>
    </w:p>
    <w:p w14:paraId="11DE8127" w14:textId="0E2BD0D3" w:rsidR="00E14275" w:rsidRPr="00BE4E1C" w:rsidRDefault="00E14275" w:rsidP="00E14275">
      <w:pPr>
        <w:jc w:val="center"/>
        <w:rPr>
          <w:b/>
          <w:bCs/>
          <w:sz w:val="28"/>
          <w:szCs w:val="28"/>
        </w:rPr>
      </w:pPr>
      <w:r w:rsidRPr="00BE4E1C">
        <w:rPr>
          <w:b/>
          <w:bCs/>
          <w:sz w:val="28"/>
          <w:szCs w:val="28"/>
        </w:rPr>
        <w:lastRenderedPageBreak/>
        <w:t>农业行业标准《</w:t>
      </w:r>
      <w:r w:rsidR="00C679BB" w:rsidRPr="00BE4E1C">
        <w:rPr>
          <w:b/>
          <w:bCs/>
          <w:sz w:val="28"/>
          <w:szCs w:val="28"/>
        </w:rPr>
        <w:t>水稻实质性派生品种鉴定 全基因组测序法</w:t>
      </w:r>
      <w:r w:rsidRPr="00BE4E1C">
        <w:rPr>
          <w:b/>
          <w:bCs/>
          <w:sz w:val="28"/>
          <w:szCs w:val="28"/>
        </w:rPr>
        <w:t>》</w:t>
      </w:r>
    </w:p>
    <w:p w14:paraId="7BD0D084" w14:textId="3782E952" w:rsidR="00E14275" w:rsidRPr="00BE4E1C" w:rsidRDefault="00E14275" w:rsidP="00E14275">
      <w:pPr>
        <w:jc w:val="center"/>
        <w:rPr>
          <w:b/>
          <w:bCs/>
          <w:sz w:val="28"/>
          <w:szCs w:val="28"/>
        </w:rPr>
      </w:pPr>
      <w:bookmarkStart w:id="1" w:name="_Hlk116376183"/>
      <w:r w:rsidRPr="00BE4E1C">
        <w:rPr>
          <w:b/>
          <w:bCs/>
          <w:sz w:val="28"/>
          <w:szCs w:val="28"/>
        </w:rPr>
        <w:t>编制说明</w:t>
      </w:r>
      <w:bookmarkEnd w:id="1"/>
    </w:p>
    <w:p w14:paraId="7B9AC08C" w14:textId="77777777" w:rsidR="00E14275" w:rsidRPr="00E14275" w:rsidRDefault="00E14275" w:rsidP="00E14275">
      <w:pPr>
        <w:jc w:val="center"/>
        <w:rPr>
          <w:b/>
          <w:bCs/>
        </w:rPr>
      </w:pPr>
    </w:p>
    <w:p w14:paraId="2D3EA5BD" w14:textId="3E9D49AD" w:rsidR="00963B15" w:rsidRPr="00E14275" w:rsidRDefault="00963B15" w:rsidP="00975266">
      <w:pPr>
        <w:rPr>
          <w:rFonts w:ascii="黑体" w:eastAsia="黑体" w:hAnsi="黑体"/>
          <w:b/>
          <w:bCs/>
          <w:sz w:val="28"/>
          <w:szCs w:val="28"/>
        </w:rPr>
      </w:pPr>
      <w:r w:rsidRPr="00E14275">
        <w:rPr>
          <w:rFonts w:ascii="黑体" w:eastAsia="黑体" w:hAnsi="黑体" w:hint="eastAsia"/>
          <w:b/>
          <w:bCs/>
          <w:sz w:val="28"/>
          <w:szCs w:val="28"/>
        </w:rPr>
        <w:t>一、工作简况</w:t>
      </w:r>
    </w:p>
    <w:p w14:paraId="11ED6E22" w14:textId="25095EE5" w:rsidR="00963B15" w:rsidRPr="00E14275" w:rsidRDefault="00963B15" w:rsidP="00E14275">
      <w:pPr>
        <w:spacing w:after="240"/>
        <w:rPr>
          <w:rFonts w:ascii="仿宋" w:eastAsia="仿宋" w:hAnsi="仿宋"/>
          <w:b/>
          <w:bCs/>
        </w:rPr>
      </w:pPr>
      <w:r w:rsidRPr="00E14275">
        <w:rPr>
          <w:rFonts w:ascii="仿宋" w:eastAsia="仿宋" w:hAnsi="仿宋" w:hint="eastAsia"/>
          <w:b/>
          <w:bCs/>
        </w:rPr>
        <w:t>（一）任务来源</w:t>
      </w:r>
    </w:p>
    <w:p w14:paraId="7C647ABB" w14:textId="36E381FC" w:rsidR="002D1676" w:rsidRPr="00E14275" w:rsidRDefault="002D1676" w:rsidP="00E14275">
      <w:pPr>
        <w:ind w:firstLine="420"/>
        <w:rPr>
          <w:rFonts w:ascii="仿宋" w:eastAsia="仿宋" w:hAnsi="仿宋"/>
        </w:rPr>
      </w:pPr>
      <w:r w:rsidRPr="00E14275">
        <w:rPr>
          <w:rFonts w:ascii="仿宋" w:eastAsia="仿宋" w:hAnsi="仿宋"/>
        </w:rPr>
        <w:t>在中国农业科技创新与种业发展的背景下，鉴于种质资源的开发与利用涉及广泛的利益相关方，特别是在生物技术迅猛发展的当下，有必要确立一套保护育种者权益的法律制度</w:t>
      </w:r>
      <w:r w:rsidR="00106E43">
        <w:rPr>
          <w:rFonts w:ascii="仿宋" w:eastAsia="仿宋" w:hAnsi="仿宋" w:hint="eastAsia"/>
        </w:rPr>
        <w:t>，既能保护育种家的利益，又能鼓励生物技术育种等育种新技术快速在育种中得到推广</w:t>
      </w:r>
      <w:r w:rsidRPr="00E14275">
        <w:rPr>
          <w:rFonts w:ascii="仿宋" w:eastAsia="仿宋" w:hAnsi="仿宋"/>
        </w:rPr>
        <w:t>。为此，我国对《中华人民共和国种子法》进行了历史性的第三次修正，于2021年12月24日引入了实质性派生品种(</w:t>
      </w:r>
      <w:r w:rsidR="000A052A" w:rsidRPr="000A052A">
        <w:rPr>
          <w:rFonts w:ascii="仿宋" w:eastAsia="仿宋" w:hAnsi="仿宋" w:hint="eastAsia"/>
        </w:rPr>
        <w:t xml:space="preserve">Essentially Derived Variety, </w:t>
      </w:r>
      <w:r w:rsidRPr="00E14275">
        <w:rPr>
          <w:rFonts w:ascii="仿宋" w:eastAsia="仿宋" w:hAnsi="仿宋"/>
        </w:rPr>
        <w:t>EDV)制度，这标志着中国种业知识产权保护的一大进步。</w:t>
      </w:r>
    </w:p>
    <w:p w14:paraId="5E93C863" w14:textId="356253C7" w:rsidR="002D1676" w:rsidRPr="00E14275" w:rsidRDefault="002D1676" w:rsidP="002E3508">
      <w:pPr>
        <w:ind w:firstLineChars="200" w:firstLine="480"/>
        <w:rPr>
          <w:rFonts w:ascii="仿宋" w:eastAsia="仿宋" w:hAnsi="仿宋"/>
        </w:rPr>
      </w:pPr>
      <w:r w:rsidRPr="00E14275">
        <w:rPr>
          <w:rFonts w:ascii="仿宋" w:eastAsia="仿宋" w:hAnsi="仿宋"/>
        </w:rPr>
        <w:t>此次立法修订旨在激励育种原始创新，建立一个公平的利益分享机制，保护种质资源的开发者、后续利用者以及生物技术发明者的商业利益。按照新种子法的</w:t>
      </w:r>
      <w:r w:rsidR="00AB60EF">
        <w:rPr>
          <w:rFonts w:ascii="仿宋" w:eastAsia="仿宋" w:hAnsi="仿宋" w:hint="eastAsia"/>
        </w:rPr>
        <w:t>定义</w:t>
      </w:r>
      <w:r w:rsidRPr="00E14275">
        <w:rPr>
          <w:rFonts w:ascii="仿宋" w:eastAsia="仿宋" w:hAnsi="仿宋"/>
        </w:rPr>
        <w:t>，</w:t>
      </w:r>
      <w:r w:rsidR="00AB60EF" w:rsidRPr="00AB60EF">
        <w:rPr>
          <w:rFonts w:ascii="仿宋" w:eastAsia="仿宋" w:hAnsi="仿宋" w:hint="eastAsia"/>
        </w:rPr>
        <w:t>实质性派生品种是指由原始品种实质性派生，或者由该原始品种的实质性派生品种派生出来的品种，与原始品种有明显区别，并且除派生引起的性状差异外，在表达由原始品种基因型或者基因型组合产生的基本性状方面与原始品种相同。</w:t>
      </w:r>
    </w:p>
    <w:p w14:paraId="28BF737B" w14:textId="44F2930E" w:rsidR="002D1676" w:rsidRPr="00E14275" w:rsidRDefault="00AB60EF" w:rsidP="002E3508">
      <w:pPr>
        <w:ind w:firstLineChars="200" w:firstLine="480"/>
        <w:rPr>
          <w:rFonts w:ascii="仿宋" w:eastAsia="仿宋" w:hAnsi="仿宋"/>
        </w:rPr>
      </w:pPr>
      <w:r>
        <w:rPr>
          <w:rFonts w:ascii="仿宋" w:eastAsia="仿宋" w:hAnsi="仿宋" w:hint="eastAsia"/>
        </w:rPr>
        <w:t>2023年</w:t>
      </w:r>
      <w:r w:rsidR="00702622">
        <w:rPr>
          <w:rFonts w:ascii="仿宋" w:eastAsia="仿宋" w:hAnsi="仿宋" w:hint="eastAsia"/>
        </w:rPr>
        <w:t>9月，</w:t>
      </w:r>
      <w:r w:rsidR="002D1676" w:rsidRPr="00E14275">
        <w:rPr>
          <w:rFonts w:ascii="仿宋" w:eastAsia="仿宋" w:hAnsi="仿宋" w:hint="eastAsia"/>
        </w:rPr>
        <w:t>科技创新2030-重大项目“农业生物育种大数据与知识产权支撑体系建设”子课题“基于全基因组测序技术的实质性派生品种鉴定技术研究和标准研制”</w:t>
      </w:r>
      <w:r w:rsidR="00702622">
        <w:rPr>
          <w:rFonts w:ascii="仿宋" w:eastAsia="仿宋" w:hAnsi="仿宋" w:hint="eastAsia"/>
        </w:rPr>
        <w:t>课题经过专家论证后立项</w:t>
      </w:r>
      <w:r w:rsidR="002D1676" w:rsidRPr="00E14275">
        <w:rPr>
          <w:rFonts w:ascii="仿宋" w:eastAsia="仿宋" w:hAnsi="仿宋" w:hint="eastAsia"/>
        </w:rPr>
        <w:t>，由</w:t>
      </w:r>
      <w:r w:rsidR="00106E43">
        <w:rPr>
          <w:rFonts w:ascii="仿宋" w:eastAsia="仿宋" w:hAnsi="仿宋" w:hint="eastAsia"/>
        </w:rPr>
        <w:t>中国农业科学院深圳农业基因组研究所（岭南现代农业科学与技术广东省实验室深圳分中心）</w:t>
      </w:r>
      <w:r w:rsidR="002D1676" w:rsidRPr="00E14275">
        <w:rPr>
          <w:rFonts w:ascii="仿宋" w:eastAsia="仿宋" w:hAnsi="仿宋" w:hint="eastAsia"/>
        </w:rPr>
        <w:t>承担</w:t>
      </w:r>
      <w:r w:rsidR="00D76CA3" w:rsidRPr="00E14275">
        <w:rPr>
          <w:rFonts w:ascii="仿宋" w:eastAsia="仿宋" w:hAnsi="仿宋" w:hint="eastAsia"/>
        </w:rPr>
        <w:t>“水稻品种及其实质性派生品种鉴定全基因组测序法”的行业标准制定工作。</w:t>
      </w:r>
    </w:p>
    <w:p w14:paraId="1762AA7C" w14:textId="51B3175A" w:rsidR="00963B15" w:rsidRPr="00E14275" w:rsidRDefault="00963B15" w:rsidP="00E14275">
      <w:pPr>
        <w:spacing w:before="240" w:after="240"/>
        <w:rPr>
          <w:rFonts w:ascii="仿宋" w:eastAsia="仿宋" w:hAnsi="仿宋"/>
          <w:b/>
          <w:bCs/>
        </w:rPr>
      </w:pPr>
      <w:r w:rsidRPr="00E14275">
        <w:rPr>
          <w:rFonts w:ascii="仿宋" w:eastAsia="仿宋" w:hAnsi="仿宋" w:hint="eastAsia"/>
          <w:b/>
          <w:bCs/>
        </w:rPr>
        <w:t>（二）协作单位</w:t>
      </w:r>
    </w:p>
    <w:p w14:paraId="2959A838" w14:textId="7212F963" w:rsidR="00E14275" w:rsidRPr="00E14275" w:rsidRDefault="00D76CA3" w:rsidP="00E14275">
      <w:pPr>
        <w:ind w:firstLine="420"/>
        <w:rPr>
          <w:rFonts w:ascii="仿宋" w:eastAsia="仿宋" w:hAnsi="仿宋"/>
        </w:rPr>
      </w:pPr>
      <w:r w:rsidRPr="00E14275">
        <w:rPr>
          <w:rFonts w:ascii="仿宋" w:eastAsia="仿宋" w:hAnsi="仿宋" w:hint="eastAsia"/>
        </w:rPr>
        <w:t>本标准编写牵头单位为</w:t>
      </w:r>
      <w:r w:rsidR="00106E43">
        <w:rPr>
          <w:rFonts w:ascii="仿宋" w:eastAsia="仿宋" w:hAnsi="仿宋" w:hint="eastAsia"/>
        </w:rPr>
        <w:t>中国农业科学院深圳农业基因组研究所（岭南现代农业科学与技术广东省实验室深圳分中心）</w:t>
      </w:r>
      <w:r w:rsidRPr="00E14275">
        <w:rPr>
          <w:rFonts w:ascii="仿宋" w:eastAsia="仿宋" w:hAnsi="仿宋" w:hint="eastAsia"/>
        </w:rPr>
        <w:t>，起草参与单位为</w:t>
      </w:r>
      <w:bookmarkStart w:id="2" w:name="_Hlk199230334"/>
      <w:r w:rsidR="00702622" w:rsidRPr="00702622">
        <w:rPr>
          <w:rFonts w:ascii="仿宋" w:eastAsia="仿宋" w:hAnsi="仿宋" w:hint="eastAsia"/>
        </w:rPr>
        <w:t>农业农村部科技发展中心</w:t>
      </w:r>
      <w:bookmarkEnd w:id="2"/>
      <w:r w:rsidR="00702622">
        <w:rPr>
          <w:rFonts w:ascii="仿宋" w:eastAsia="仿宋" w:hAnsi="仿宋" w:hint="eastAsia"/>
        </w:rPr>
        <w:t>、</w:t>
      </w:r>
      <w:r w:rsidRPr="00E14275">
        <w:rPr>
          <w:rFonts w:ascii="仿宋" w:eastAsia="仿宋" w:hAnsi="仿宋" w:hint="eastAsia"/>
        </w:rPr>
        <w:t>中国农业科学院农业质量标准与检测技术研究所</w:t>
      </w:r>
      <w:r w:rsidR="00E14275" w:rsidRPr="00E14275">
        <w:rPr>
          <w:rFonts w:ascii="仿宋" w:eastAsia="仿宋" w:hAnsi="仿宋" w:hint="eastAsia"/>
        </w:rPr>
        <w:t>。</w:t>
      </w:r>
    </w:p>
    <w:p w14:paraId="28A2E391" w14:textId="268856A6" w:rsidR="00963B15" w:rsidRPr="00E14275" w:rsidRDefault="00963B15" w:rsidP="00E14275">
      <w:pPr>
        <w:spacing w:before="240" w:after="240"/>
        <w:rPr>
          <w:rFonts w:ascii="仿宋" w:eastAsia="仿宋" w:hAnsi="仿宋"/>
          <w:b/>
          <w:bCs/>
        </w:rPr>
      </w:pPr>
      <w:r w:rsidRPr="00E14275">
        <w:rPr>
          <w:rFonts w:ascii="仿宋" w:eastAsia="仿宋" w:hAnsi="仿宋" w:hint="eastAsia"/>
          <w:b/>
          <w:bCs/>
        </w:rPr>
        <w:t>（三）主要起草人</w:t>
      </w:r>
    </w:p>
    <w:p w14:paraId="5ABA569F" w14:textId="1862728C" w:rsidR="00D76CA3" w:rsidRPr="00E14275" w:rsidRDefault="00D76CA3" w:rsidP="00E14275">
      <w:pPr>
        <w:ind w:firstLine="420"/>
        <w:rPr>
          <w:rFonts w:ascii="仿宋" w:eastAsia="仿宋" w:hAnsi="仿宋"/>
        </w:rPr>
      </w:pPr>
      <w:r w:rsidRPr="00E14275">
        <w:rPr>
          <w:rFonts w:ascii="仿宋" w:eastAsia="仿宋" w:hAnsi="仿宋" w:hint="eastAsia"/>
        </w:rPr>
        <w:t>标准主要起草人：</w:t>
      </w:r>
      <w:r w:rsidR="00702622">
        <w:rPr>
          <w:rFonts w:ascii="仿宋" w:eastAsia="仿宋" w:hAnsi="仿宋" w:hint="eastAsia"/>
        </w:rPr>
        <w:t>林强，</w:t>
      </w:r>
      <w:r w:rsidR="000A052A">
        <w:rPr>
          <w:rFonts w:ascii="仿宋" w:eastAsia="仿宋" w:hAnsi="仿宋" w:hint="eastAsia"/>
        </w:rPr>
        <w:t>常玉晓</w:t>
      </w:r>
      <w:r w:rsidR="008A3A36">
        <w:rPr>
          <w:rFonts w:ascii="仿宋" w:eastAsia="仿宋" w:hAnsi="仿宋" w:hint="eastAsia"/>
        </w:rPr>
        <w:t>，范伟</w:t>
      </w:r>
      <w:r w:rsidR="000A052A">
        <w:rPr>
          <w:rFonts w:ascii="仿宋" w:eastAsia="仿宋" w:hAnsi="仿宋" w:hint="eastAsia"/>
        </w:rPr>
        <w:t>，</w:t>
      </w:r>
      <w:r w:rsidR="001954D8">
        <w:rPr>
          <w:rFonts w:ascii="仿宋" w:eastAsia="仿宋" w:hAnsi="仿宋" w:hint="eastAsia"/>
        </w:rPr>
        <w:t>向勇，</w:t>
      </w:r>
      <w:r w:rsidR="00702622">
        <w:rPr>
          <w:rFonts w:ascii="仿宋" w:eastAsia="仿宋" w:hAnsi="仿宋" w:hint="eastAsia"/>
        </w:rPr>
        <w:t>卢洪</w:t>
      </w:r>
      <w:r w:rsidR="00C679BB">
        <w:rPr>
          <w:rFonts w:ascii="仿宋" w:eastAsia="仿宋" w:hAnsi="仿宋" w:hint="eastAsia"/>
        </w:rPr>
        <w:t>，</w:t>
      </w:r>
      <w:r w:rsidR="008A3A36">
        <w:rPr>
          <w:rFonts w:ascii="仿宋" w:eastAsia="仿宋" w:hAnsi="仿宋" w:hint="eastAsia"/>
        </w:rPr>
        <w:t>张秀杰，</w:t>
      </w:r>
      <w:r w:rsidR="008A3A36">
        <w:rPr>
          <w:rFonts w:eastAsia="仿宋_GB2312" w:hint="eastAsia"/>
        </w:rPr>
        <w:t>韩瑞玺，</w:t>
      </w:r>
      <w:r w:rsidR="008A3A36">
        <w:rPr>
          <w:rFonts w:eastAsia="仿宋_GB2312" w:hint="eastAsia"/>
          <w:color w:val="000000"/>
        </w:rPr>
        <w:t>李亮</w:t>
      </w:r>
      <w:r w:rsidRPr="00E14275">
        <w:rPr>
          <w:rFonts w:ascii="仿宋" w:eastAsia="仿宋" w:hAnsi="仿宋" w:hint="eastAsia"/>
        </w:rPr>
        <w:t>。</w:t>
      </w:r>
    </w:p>
    <w:p w14:paraId="1F072D80" w14:textId="07B9F9CC" w:rsidR="00963B15" w:rsidRPr="00E14275" w:rsidRDefault="00963B15" w:rsidP="00E14275">
      <w:pPr>
        <w:spacing w:before="240" w:after="240"/>
        <w:rPr>
          <w:rFonts w:ascii="仿宋" w:eastAsia="仿宋" w:hAnsi="仿宋"/>
          <w:b/>
          <w:bCs/>
        </w:rPr>
      </w:pPr>
      <w:r w:rsidRPr="00E14275">
        <w:rPr>
          <w:rFonts w:ascii="仿宋" w:eastAsia="仿宋" w:hAnsi="仿宋" w:hint="eastAsia"/>
          <w:b/>
          <w:bCs/>
        </w:rPr>
        <w:t>（四）主要工作过程</w:t>
      </w:r>
    </w:p>
    <w:p w14:paraId="49749A73" w14:textId="014A6E3A" w:rsidR="00D76CA3" w:rsidRPr="00E14275" w:rsidRDefault="00702622" w:rsidP="00E14275">
      <w:pPr>
        <w:ind w:firstLine="420"/>
        <w:rPr>
          <w:rFonts w:ascii="仿宋" w:eastAsia="仿宋" w:hAnsi="仿宋"/>
        </w:rPr>
      </w:pPr>
      <w:r>
        <w:rPr>
          <w:rFonts w:ascii="仿宋" w:eastAsia="仿宋" w:hAnsi="仿宋" w:hint="eastAsia"/>
        </w:rPr>
        <w:t>2023</w:t>
      </w:r>
      <w:r w:rsidR="00D76CA3" w:rsidRPr="00E14275">
        <w:rPr>
          <w:rFonts w:ascii="仿宋" w:eastAsia="仿宋" w:hAnsi="仿宋" w:hint="eastAsia"/>
        </w:rPr>
        <w:t>年</w:t>
      </w:r>
      <w:r>
        <w:rPr>
          <w:rFonts w:ascii="仿宋" w:eastAsia="仿宋" w:hAnsi="仿宋" w:hint="eastAsia"/>
        </w:rPr>
        <w:t>9</w:t>
      </w:r>
      <w:r w:rsidR="00D76CA3" w:rsidRPr="00E14275">
        <w:rPr>
          <w:rFonts w:ascii="仿宋" w:eastAsia="仿宋" w:hAnsi="仿宋" w:hint="eastAsia"/>
        </w:rPr>
        <w:t>月，</w:t>
      </w:r>
      <w:r w:rsidR="00106E43">
        <w:rPr>
          <w:rFonts w:ascii="仿宋" w:eastAsia="仿宋" w:hAnsi="仿宋" w:hint="eastAsia"/>
        </w:rPr>
        <w:t>中国农业科学院深圳农业基因组研究所（岭南现代农业科学与技术广东省实验室深圳分中心）</w:t>
      </w:r>
      <w:r w:rsidR="00D76CA3" w:rsidRPr="00E14275">
        <w:rPr>
          <w:rFonts w:ascii="仿宋" w:eastAsia="仿宋" w:hAnsi="仿宋" w:hint="eastAsia"/>
        </w:rPr>
        <w:t>、</w:t>
      </w:r>
      <w:r w:rsidRPr="00702622">
        <w:rPr>
          <w:rFonts w:ascii="仿宋" w:eastAsia="仿宋" w:hAnsi="仿宋" w:hint="eastAsia"/>
        </w:rPr>
        <w:t>农业农村部科技发展中心</w:t>
      </w:r>
      <w:r>
        <w:rPr>
          <w:rFonts w:ascii="仿宋" w:eastAsia="仿宋" w:hAnsi="仿宋" w:hint="eastAsia"/>
        </w:rPr>
        <w:t>、</w:t>
      </w:r>
      <w:r w:rsidR="00D76CA3" w:rsidRPr="00E14275">
        <w:rPr>
          <w:rFonts w:ascii="仿宋" w:eastAsia="仿宋" w:hAnsi="仿宋" w:hint="eastAsia"/>
        </w:rPr>
        <w:t>中国农业科学院农业质量标准与检测技术研究所等单位启动了方法和标准的研究工作。在农业农村部</w:t>
      </w:r>
      <w:r>
        <w:rPr>
          <w:rFonts w:ascii="仿宋" w:eastAsia="仿宋" w:hAnsi="仿宋" w:hint="eastAsia"/>
        </w:rPr>
        <w:t>、深圳市科技创新局等</w:t>
      </w:r>
      <w:r w:rsidR="00D76CA3" w:rsidRPr="00E14275">
        <w:rPr>
          <w:rFonts w:ascii="仿宋" w:eastAsia="仿宋" w:hAnsi="仿宋" w:hint="eastAsia"/>
        </w:rPr>
        <w:t>项目资助下，利用</w:t>
      </w:r>
      <w:r w:rsidR="00B869F6">
        <w:rPr>
          <w:rFonts w:ascii="仿宋" w:eastAsia="仿宋" w:hAnsi="仿宋" w:hint="eastAsia"/>
        </w:rPr>
        <w:t>来自</w:t>
      </w:r>
      <w:r w:rsidR="00B869F6" w:rsidRPr="00B869F6">
        <w:rPr>
          <w:rFonts w:ascii="仿宋" w:eastAsia="仿宋" w:hAnsi="仿宋" w:hint="eastAsia"/>
        </w:rPr>
        <w:t>中国五大稻区的6044份现代水稻品种</w:t>
      </w:r>
      <w:r w:rsidR="00B869F6">
        <w:rPr>
          <w:rFonts w:ascii="仿宋" w:eastAsia="仿宋" w:hAnsi="仿宋" w:hint="eastAsia"/>
        </w:rPr>
        <w:t>（其中</w:t>
      </w:r>
      <w:r w:rsidR="00B869F6" w:rsidRPr="00B869F6">
        <w:rPr>
          <w:rFonts w:ascii="仿宋" w:eastAsia="仿宋" w:hAnsi="仿宋" w:hint="eastAsia"/>
        </w:rPr>
        <w:t>籼稻：2706</w:t>
      </w:r>
      <w:r w:rsidR="00B869F6">
        <w:rPr>
          <w:rFonts w:ascii="仿宋" w:eastAsia="仿宋" w:hAnsi="仿宋" w:hint="eastAsia"/>
        </w:rPr>
        <w:t>份</w:t>
      </w:r>
      <w:r w:rsidR="00B869F6" w:rsidRPr="00B869F6">
        <w:rPr>
          <w:rFonts w:ascii="仿宋" w:eastAsia="仿宋" w:hAnsi="仿宋" w:hint="eastAsia"/>
        </w:rPr>
        <w:t>；粳稻：3338</w:t>
      </w:r>
      <w:r w:rsidR="00B869F6">
        <w:rPr>
          <w:rFonts w:ascii="仿宋" w:eastAsia="仿宋" w:hAnsi="仿宋" w:hint="eastAsia"/>
        </w:rPr>
        <w:t>份）</w:t>
      </w:r>
      <w:r w:rsidR="00192E89">
        <w:rPr>
          <w:rFonts w:ascii="仿宋" w:eastAsia="仿宋" w:hAnsi="仿宋" w:hint="eastAsia"/>
        </w:rPr>
        <w:t>的</w:t>
      </w:r>
      <w:r w:rsidR="00D76CA3" w:rsidRPr="00E14275">
        <w:rPr>
          <w:rFonts w:ascii="仿宋" w:eastAsia="仿宋" w:hAnsi="仿宋" w:hint="eastAsia"/>
        </w:rPr>
        <w:t>全基因组测序数据</w:t>
      </w:r>
      <w:r w:rsidR="001F0705">
        <w:rPr>
          <w:rFonts w:ascii="仿宋" w:eastAsia="仿宋" w:hAnsi="仿宋" w:hint="eastAsia"/>
        </w:rPr>
        <w:t xml:space="preserve">（Ma </w:t>
      </w:r>
      <w:r w:rsidR="001F0705">
        <w:rPr>
          <w:rFonts w:ascii="仿宋" w:eastAsia="仿宋" w:hAnsi="仿宋" w:hint="eastAsia"/>
        </w:rPr>
        <w:lastRenderedPageBreak/>
        <w:t xml:space="preserve">et al., 2025, </w:t>
      </w:r>
      <w:hyperlink r:id="rId7" w:history="1">
        <w:r w:rsidR="001F0705" w:rsidRPr="00EE0D9B">
          <w:rPr>
            <w:rStyle w:val="af0"/>
            <w:rFonts w:ascii="仿宋" w:eastAsia="仿宋" w:hAnsi="仿宋" w:hint="eastAsia"/>
          </w:rPr>
          <w:t>https://doi.org/10.1016/j.molp.2025.03.007</w:t>
        </w:r>
      </w:hyperlink>
      <w:r w:rsidR="001F0705">
        <w:rPr>
          <w:rFonts w:ascii="仿宋" w:eastAsia="仿宋" w:hAnsi="仿宋" w:hint="eastAsia"/>
        </w:rPr>
        <w:t>, 平均测序深度为30×）</w:t>
      </w:r>
      <w:r w:rsidR="00D76CA3" w:rsidRPr="00E14275">
        <w:rPr>
          <w:rFonts w:ascii="仿宋" w:eastAsia="仿宋" w:hAnsi="仿宋" w:hint="eastAsia"/>
        </w:rPr>
        <w:t>，开发了代表水稻全基因组结构和遗传背景关系的</w:t>
      </w:r>
      <w:r w:rsidR="001F0705">
        <w:rPr>
          <w:rFonts w:ascii="仿宋" w:eastAsia="仿宋" w:hAnsi="仿宋" w:hint="eastAsia"/>
        </w:rPr>
        <w:t>15772</w:t>
      </w:r>
      <w:r w:rsidR="00D76CA3" w:rsidRPr="00E14275">
        <w:rPr>
          <w:rFonts w:ascii="仿宋" w:eastAsia="仿宋" w:hAnsi="仿宋" w:hint="eastAsia"/>
        </w:rPr>
        <w:t>个稳定遗传位点，该组遗传位点平衡了籼稻、粳稻遗传结构背景差异，对于两种水稻亚种</w:t>
      </w:r>
      <w:r w:rsidR="00AD3805" w:rsidRPr="00E14275">
        <w:rPr>
          <w:rFonts w:ascii="仿宋" w:eastAsia="仿宋" w:hAnsi="仿宋" w:hint="eastAsia"/>
        </w:rPr>
        <w:t>最终形成更为均衡的判断指标，可以在统一的判断标准下更为合理。2025</w:t>
      </w:r>
      <w:r w:rsidR="00D76CA3" w:rsidRPr="00E14275">
        <w:rPr>
          <w:rFonts w:ascii="仿宋" w:eastAsia="仿宋" w:hAnsi="仿宋" w:hint="eastAsia"/>
        </w:rPr>
        <w:t>年</w:t>
      </w:r>
      <w:r w:rsidR="00AD3805" w:rsidRPr="00E14275">
        <w:rPr>
          <w:rFonts w:ascii="仿宋" w:eastAsia="仿宋" w:hAnsi="仿宋" w:hint="eastAsia"/>
        </w:rPr>
        <w:t>1月-4月，标准研制单位利用该组遗传位点，我们对1000多例水稻的遗传关系进行了分子鉴定。</w:t>
      </w:r>
    </w:p>
    <w:p w14:paraId="6C9FE76E" w14:textId="6063A555" w:rsidR="00E14275" w:rsidRPr="00E14275" w:rsidRDefault="00AD3805" w:rsidP="00BE4E1C">
      <w:pPr>
        <w:ind w:firstLine="420"/>
        <w:rPr>
          <w:rFonts w:ascii="仿宋" w:eastAsia="仿宋" w:hAnsi="仿宋"/>
        </w:rPr>
      </w:pPr>
      <w:r w:rsidRPr="00E14275">
        <w:rPr>
          <w:rFonts w:ascii="仿宋" w:eastAsia="仿宋" w:hAnsi="仿宋" w:hint="eastAsia"/>
        </w:rPr>
        <w:t>2025年</w:t>
      </w:r>
      <w:r w:rsidR="002E3508">
        <w:rPr>
          <w:rFonts w:ascii="仿宋" w:eastAsia="仿宋" w:hAnsi="仿宋" w:hint="eastAsia"/>
        </w:rPr>
        <w:t>5～7</w:t>
      </w:r>
      <w:r w:rsidRPr="00E14275">
        <w:rPr>
          <w:rFonts w:ascii="仿宋" w:eastAsia="仿宋" w:hAnsi="仿宋" w:hint="eastAsia"/>
        </w:rPr>
        <w:t>月，</w:t>
      </w:r>
      <w:r w:rsidRPr="00E14275">
        <w:rPr>
          <w:rFonts w:ascii="仿宋" w:eastAsia="仿宋" w:hAnsi="仿宋"/>
        </w:rPr>
        <w:t>标准起草小组起草了标准初稿，起草过程中征询并吸收了检验、育种、企业、管理等各领域专家的意见，形成标准的征求意见稿</w:t>
      </w:r>
      <w:r w:rsidRPr="00E14275">
        <w:rPr>
          <w:rFonts w:ascii="仿宋" w:eastAsia="仿宋" w:hAnsi="仿宋" w:hint="eastAsia"/>
        </w:rPr>
        <w:t>。</w:t>
      </w:r>
    </w:p>
    <w:p w14:paraId="28BC1F40" w14:textId="77777777" w:rsidR="00E14275" w:rsidRPr="00E14275" w:rsidRDefault="00E14275" w:rsidP="00E14275"/>
    <w:p w14:paraId="655DA4F2" w14:textId="59DF3610" w:rsidR="00963B15" w:rsidRPr="00E14275" w:rsidRDefault="00963B15">
      <w:pPr>
        <w:rPr>
          <w:rFonts w:ascii="黑体" w:eastAsia="黑体" w:hAnsi="黑体"/>
          <w:b/>
          <w:bCs/>
          <w:sz w:val="28"/>
          <w:szCs w:val="28"/>
        </w:rPr>
      </w:pPr>
      <w:r w:rsidRPr="00E14275">
        <w:rPr>
          <w:rFonts w:ascii="黑体" w:eastAsia="黑体" w:hAnsi="黑体" w:hint="eastAsia"/>
          <w:b/>
          <w:bCs/>
          <w:sz w:val="28"/>
          <w:szCs w:val="28"/>
        </w:rPr>
        <w:t>二、标准编制原则和确定标准主要内容的论据</w:t>
      </w:r>
    </w:p>
    <w:p w14:paraId="59CCCE75" w14:textId="0D440A52" w:rsidR="00963B15" w:rsidRPr="00E14275" w:rsidRDefault="00963B15" w:rsidP="00E14275">
      <w:pPr>
        <w:spacing w:before="240" w:after="240"/>
        <w:rPr>
          <w:rFonts w:ascii="仿宋" w:eastAsia="仿宋" w:hAnsi="仿宋"/>
          <w:b/>
          <w:bCs/>
        </w:rPr>
      </w:pPr>
      <w:r w:rsidRPr="00E14275">
        <w:rPr>
          <w:rFonts w:ascii="仿宋" w:eastAsia="仿宋" w:hAnsi="仿宋" w:hint="eastAsia"/>
          <w:b/>
          <w:bCs/>
        </w:rPr>
        <w:t>（一）标准编制原则</w:t>
      </w:r>
    </w:p>
    <w:p w14:paraId="3E3F4D3C" w14:textId="0209B257" w:rsidR="00AD3805" w:rsidRPr="00E14275" w:rsidRDefault="00E14275" w:rsidP="00AD3805">
      <w:pPr>
        <w:rPr>
          <w:rFonts w:ascii="仿宋" w:eastAsia="仿宋" w:hAnsi="仿宋"/>
          <w:b/>
          <w:bCs/>
        </w:rPr>
      </w:pPr>
      <w:r w:rsidRPr="00E14275">
        <w:rPr>
          <w:rFonts w:ascii="仿宋" w:eastAsia="仿宋" w:hAnsi="仿宋" w:hint="eastAsia"/>
          <w:b/>
          <w:bCs/>
        </w:rPr>
        <w:t xml:space="preserve">1. </w:t>
      </w:r>
      <w:r w:rsidR="00AD3805" w:rsidRPr="00E14275">
        <w:rPr>
          <w:rFonts w:ascii="仿宋" w:eastAsia="仿宋" w:hAnsi="仿宋"/>
          <w:b/>
          <w:bCs/>
        </w:rPr>
        <w:t>规范性原则</w:t>
      </w:r>
      <w:r w:rsidR="00AD3805" w:rsidRPr="00E14275">
        <w:rPr>
          <w:rFonts w:ascii="仿宋" w:eastAsia="仿宋" w:hAnsi="仿宋" w:hint="eastAsia"/>
          <w:b/>
          <w:bCs/>
        </w:rPr>
        <w:t>：</w:t>
      </w:r>
    </w:p>
    <w:p w14:paraId="3CF2A140" w14:textId="54161691" w:rsidR="00AD3805" w:rsidRPr="00E14275" w:rsidRDefault="00AD3805" w:rsidP="00E14275">
      <w:pPr>
        <w:ind w:firstLine="420"/>
        <w:rPr>
          <w:rFonts w:ascii="仿宋" w:eastAsia="仿宋" w:hAnsi="仿宋"/>
        </w:rPr>
      </w:pPr>
      <w:r w:rsidRPr="00E14275">
        <w:rPr>
          <w:rFonts w:ascii="仿宋" w:eastAsia="仿宋" w:hAnsi="仿宋"/>
        </w:rPr>
        <w:t>本标准严格遵循《中华人民共和国种子法》（主席令第105号）</w:t>
      </w:r>
      <w:r w:rsidR="0075576F" w:rsidRPr="00E14275">
        <w:rPr>
          <w:rFonts w:ascii="仿宋" w:eastAsia="仿宋" w:hAnsi="仿宋" w:hint="eastAsia"/>
        </w:rPr>
        <w:t>、《中华人民共和国种子法》（2021修证）</w:t>
      </w:r>
      <w:r w:rsidR="00973D49" w:rsidRPr="00E14275">
        <w:rPr>
          <w:rFonts w:ascii="仿宋" w:eastAsia="仿宋" w:hAnsi="仿宋" w:hint="eastAsia"/>
        </w:rPr>
        <w:t>、</w:t>
      </w:r>
      <w:r w:rsidR="00973D49" w:rsidRPr="00E14275">
        <w:rPr>
          <w:rFonts w:ascii="仿宋" w:eastAsia="仿宋" w:hAnsi="仿宋"/>
        </w:rPr>
        <w:t>《中华人民共和国植物新品种保护条例》</w:t>
      </w:r>
      <w:r w:rsidR="00973D49" w:rsidRPr="00E14275">
        <w:rPr>
          <w:rFonts w:ascii="仿宋" w:eastAsia="仿宋" w:hAnsi="仿宋" w:hint="eastAsia"/>
        </w:rPr>
        <w:t>（2025修订）</w:t>
      </w:r>
      <w:r w:rsidRPr="00E14275">
        <w:rPr>
          <w:rFonts w:ascii="仿宋" w:eastAsia="仿宋" w:hAnsi="仿宋" w:hint="eastAsia"/>
        </w:rPr>
        <w:t>以</w:t>
      </w:r>
      <w:r w:rsidRPr="00E14275">
        <w:rPr>
          <w:rFonts w:ascii="仿宋" w:eastAsia="仿宋" w:hAnsi="仿宋"/>
        </w:rPr>
        <w:t>及《GB/T 1.1-2020 标准化工作导则 第1部分：标准化文件的结构和起草规则》等相关法律法规和标准化技术文件的要求，确保标准内容合法合规、格式规范、术语统一，具有良好的可操作性和权威性。</w:t>
      </w:r>
    </w:p>
    <w:p w14:paraId="4320F761" w14:textId="486BB8EF" w:rsidR="00AD3805" w:rsidRPr="00E14275" w:rsidRDefault="00E14275" w:rsidP="00AD3805">
      <w:pPr>
        <w:rPr>
          <w:rFonts w:ascii="仿宋" w:eastAsia="仿宋" w:hAnsi="仿宋"/>
          <w:b/>
          <w:bCs/>
        </w:rPr>
      </w:pPr>
      <w:r w:rsidRPr="00E14275">
        <w:rPr>
          <w:rFonts w:ascii="仿宋" w:eastAsia="仿宋" w:hAnsi="仿宋" w:hint="eastAsia"/>
          <w:b/>
          <w:bCs/>
        </w:rPr>
        <w:t xml:space="preserve">2. </w:t>
      </w:r>
      <w:r w:rsidR="00AD3805" w:rsidRPr="00E14275">
        <w:rPr>
          <w:rFonts w:ascii="仿宋" w:eastAsia="仿宋" w:hAnsi="仿宋"/>
          <w:b/>
          <w:bCs/>
        </w:rPr>
        <w:t>适</w:t>
      </w:r>
      <w:r w:rsidR="001F0705">
        <w:rPr>
          <w:rFonts w:ascii="仿宋" w:eastAsia="仿宋" w:hAnsi="仿宋" w:hint="eastAsia"/>
          <w:b/>
          <w:bCs/>
        </w:rPr>
        <w:t>用</w:t>
      </w:r>
      <w:r w:rsidR="00AD3805" w:rsidRPr="00E14275">
        <w:rPr>
          <w:rFonts w:ascii="仿宋" w:eastAsia="仿宋" w:hAnsi="仿宋"/>
          <w:b/>
          <w:bCs/>
        </w:rPr>
        <w:t>性原则</w:t>
      </w:r>
      <w:r w:rsidR="0075576F" w:rsidRPr="00E14275">
        <w:rPr>
          <w:rFonts w:ascii="仿宋" w:eastAsia="仿宋" w:hAnsi="仿宋" w:hint="eastAsia"/>
          <w:b/>
          <w:bCs/>
        </w:rPr>
        <w:t>：</w:t>
      </w:r>
    </w:p>
    <w:p w14:paraId="5ABAC260" w14:textId="66DD33D8" w:rsidR="00AD3805" w:rsidRPr="00E14275" w:rsidRDefault="0075576F" w:rsidP="00E14275">
      <w:pPr>
        <w:ind w:firstLine="420"/>
        <w:rPr>
          <w:rFonts w:ascii="仿宋" w:eastAsia="仿宋" w:hAnsi="仿宋"/>
        </w:rPr>
      </w:pPr>
      <w:r w:rsidRPr="00E14275">
        <w:rPr>
          <w:rFonts w:ascii="仿宋" w:eastAsia="仿宋" w:hAnsi="仿宋"/>
        </w:rPr>
        <w:t>标准充分考虑我国水稻</w:t>
      </w:r>
      <w:r w:rsidRPr="001954D8">
        <w:rPr>
          <w:rFonts w:ascii="仿宋" w:eastAsia="仿宋" w:hAnsi="仿宋" w:hint="eastAsia"/>
        </w:rPr>
        <w:t>品种真实性鉴定</w:t>
      </w:r>
      <w:r w:rsidRPr="00E14275">
        <w:rPr>
          <w:rFonts w:ascii="仿宋" w:eastAsia="仿宋" w:hAnsi="仿宋"/>
        </w:rPr>
        <w:t>和实质性派生品种（EDV）认定的实际需求，结合当前育种单位和行政主管部门的工作场景，设计了具有良好通用性和可扩展性的技术流程。同时，基于全基因组测序技术的发展趋势，标准选用的数据获取方式具有通量高、周期短、成本逐步下降等特点，便于在育种实践中推广应用，具有较强的现实可行性与适用性。</w:t>
      </w:r>
    </w:p>
    <w:p w14:paraId="49BFB331" w14:textId="4EC8B4DC" w:rsidR="00AD3805" w:rsidRPr="00E14275" w:rsidRDefault="00E14275" w:rsidP="00AD3805">
      <w:pPr>
        <w:rPr>
          <w:rFonts w:ascii="仿宋" w:eastAsia="仿宋" w:hAnsi="仿宋"/>
          <w:b/>
          <w:bCs/>
        </w:rPr>
      </w:pPr>
      <w:r w:rsidRPr="00E14275">
        <w:rPr>
          <w:rFonts w:ascii="仿宋" w:eastAsia="仿宋" w:hAnsi="仿宋" w:hint="eastAsia"/>
          <w:b/>
          <w:bCs/>
        </w:rPr>
        <w:t xml:space="preserve">3. </w:t>
      </w:r>
      <w:r w:rsidR="00AD3805" w:rsidRPr="00E14275">
        <w:rPr>
          <w:rFonts w:ascii="仿宋" w:eastAsia="仿宋" w:hAnsi="仿宋"/>
          <w:b/>
          <w:bCs/>
        </w:rPr>
        <w:t>统一性原则</w:t>
      </w:r>
      <w:r w:rsidR="0075576F" w:rsidRPr="00E14275">
        <w:rPr>
          <w:rFonts w:ascii="仿宋" w:eastAsia="仿宋" w:hAnsi="仿宋" w:hint="eastAsia"/>
          <w:b/>
          <w:bCs/>
        </w:rPr>
        <w:t>：</w:t>
      </w:r>
    </w:p>
    <w:p w14:paraId="006B9F25" w14:textId="46326F11" w:rsidR="00512B6A" w:rsidRPr="00E14275" w:rsidRDefault="00512B6A" w:rsidP="00E14275">
      <w:pPr>
        <w:ind w:firstLine="420"/>
        <w:rPr>
          <w:rFonts w:ascii="仿宋" w:eastAsia="仿宋" w:hAnsi="仿宋"/>
        </w:rPr>
      </w:pPr>
      <w:r w:rsidRPr="00E14275">
        <w:rPr>
          <w:rFonts w:ascii="仿宋" w:eastAsia="仿宋" w:hAnsi="仿宋"/>
        </w:rPr>
        <w:t>本标准在技术路径、数据处理流程、变异筛选方法及结果判定标准等方面，与《植物新品种测试指南》以及现行分子标记类技术标准保持高度一致，确保与国家和行业现有体系的协调统一。标准充分衔接了当前已制定的高通量测序技术规范和基于NGS的SNP检测相关标准，在样本处理、测序平台、数据分析、结果解释等环节均具备明确可执行的技术依据，体现出较强的实验操作规范性和数据处理标准化水平。通过统一测序深度、比对算法、相似性评价模型等关键参数，有效推动全基因组测序在品种权保护中的规范应用，有利于不同检测机构间结果的互认与数据的可比性。</w:t>
      </w:r>
    </w:p>
    <w:p w14:paraId="1F7D0BA6" w14:textId="5F408DC2" w:rsidR="00AD3805" w:rsidRPr="00E14275" w:rsidRDefault="00E14275" w:rsidP="00AD3805">
      <w:pPr>
        <w:rPr>
          <w:rFonts w:ascii="仿宋" w:eastAsia="仿宋" w:hAnsi="仿宋"/>
          <w:b/>
          <w:bCs/>
        </w:rPr>
      </w:pPr>
      <w:r w:rsidRPr="00E14275">
        <w:rPr>
          <w:rFonts w:ascii="仿宋" w:eastAsia="仿宋" w:hAnsi="仿宋" w:hint="eastAsia"/>
          <w:b/>
          <w:bCs/>
        </w:rPr>
        <w:t xml:space="preserve">4. </w:t>
      </w:r>
      <w:r w:rsidR="00AD3805" w:rsidRPr="00E14275">
        <w:rPr>
          <w:rFonts w:ascii="仿宋" w:eastAsia="仿宋" w:hAnsi="仿宋"/>
          <w:b/>
          <w:bCs/>
        </w:rPr>
        <w:t>先进性原则</w:t>
      </w:r>
      <w:r w:rsidR="0075576F" w:rsidRPr="00E14275">
        <w:rPr>
          <w:rFonts w:ascii="仿宋" w:eastAsia="仿宋" w:hAnsi="仿宋" w:hint="eastAsia"/>
          <w:b/>
          <w:bCs/>
        </w:rPr>
        <w:t>：</w:t>
      </w:r>
    </w:p>
    <w:p w14:paraId="3965CD35" w14:textId="7A9B1A6C" w:rsidR="0075576F" w:rsidRPr="00E14275" w:rsidRDefault="0075576F" w:rsidP="00E14275">
      <w:pPr>
        <w:ind w:firstLine="420"/>
        <w:rPr>
          <w:rFonts w:ascii="仿宋" w:eastAsia="仿宋" w:hAnsi="仿宋"/>
        </w:rPr>
      </w:pPr>
      <w:r w:rsidRPr="00E14275">
        <w:rPr>
          <w:rFonts w:ascii="仿宋" w:eastAsia="仿宋" w:hAnsi="仿宋"/>
        </w:rPr>
        <w:t>本标准基于当前国际主流的全基因组重测序技术和遗传相似性评估方法，结合最新的群体遗传学分析策略，构建了一套科学、高效、准确的品种及EDV鉴定体系，具有较高的技术先进性和发展前瞻性。标准在设计过程中充分考虑了我国水稻主栽品种的遗传多样性，特别是籼稻与粳稻之间在遗传背景、变异密度和亚群结构上的差异，确保技术方案适用于不同亚群的品种鉴定需求，提升了标准在全国范围内的广泛适用性和代表性。</w:t>
      </w:r>
    </w:p>
    <w:p w14:paraId="60C13135" w14:textId="6ACF9A78" w:rsidR="00963B15" w:rsidRPr="00E14275" w:rsidRDefault="00963B15" w:rsidP="00E14275">
      <w:pPr>
        <w:spacing w:before="240" w:after="240"/>
        <w:rPr>
          <w:rFonts w:ascii="仿宋" w:eastAsia="仿宋" w:hAnsi="仿宋"/>
          <w:b/>
          <w:bCs/>
        </w:rPr>
      </w:pPr>
      <w:r w:rsidRPr="00E14275">
        <w:rPr>
          <w:rFonts w:ascii="仿宋" w:eastAsia="仿宋" w:hAnsi="仿宋" w:hint="eastAsia"/>
          <w:b/>
          <w:bCs/>
        </w:rPr>
        <w:t>（二）主要技术内容</w:t>
      </w:r>
    </w:p>
    <w:p w14:paraId="4F3B28C8" w14:textId="30E94E39" w:rsidR="00622E03" w:rsidRPr="00975266" w:rsidRDefault="00622E03">
      <w:pPr>
        <w:rPr>
          <w:rFonts w:ascii="仿宋" w:eastAsia="仿宋" w:hAnsi="仿宋"/>
          <w:b/>
          <w:bCs/>
        </w:rPr>
      </w:pPr>
      <w:r w:rsidRPr="00975266">
        <w:rPr>
          <w:rFonts w:ascii="仿宋" w:eastAsia="仿宋" w:hAnsi="仿宋" w:hint="eastAsia"/>
          <w:b/>
          <w:bCs/>
        </w:rPr>
        <w:lastRenderedPageBreak/>
        <w:t>1. 标准适用范围</w:t>
      </w:r>
    </w:p>
    <w:p w14:paraId="70D6EA95" w14:textId="6E262E84" w:rsidR="00F97E11" w:rsidRPr="00E14275" w:rsidRDefault="00F97E11" w:rsidP="00975266">
      <w:pPr>
        <w:ind w:firstLine="420"/>
        <w:rPr>
          <w:rFonts w:ascii="仿宋" w:eastAsia="仿宋" w:hAnsi="仿宋"/>
        </w:rPr>
      </w:pPr>
      <w:r w:rsidRPr="00E14275">
        <w:rPr>
          <w:rFonts w:ascii="仿宋" w:eastAsia="仿宋" w:hAnsi="仿宋"/>
        </w:rPr>
        <w:t>本标准适用于采用全基因组重测序技术对水稻品种及其实质性派生品种进行遗传一致性和差异性分析，适用于育种单位之间品种权纠纷鉴定、主管部门在新品种审定或权属认定中的分子检测需求，以及科研机构在种质资源保护、亲缘关系推断等方面的品种身份确认任务。</w:t>
      </w:r>
    </w:p>
    <w:p w14:paraId="7FF236C8" w14:textId="49D37610" w:rsidR="00F97E11" w:rsidRPr="00E14275" w:rsidRDefault="00F97E11" w:rsidP="00975266">
      <w:pPr>
        <w:ind w:firstLine="420"/>
        <w:rPr>
          <w:rFonts w:ascii="仿宋" w:eastAsia="仿宋" w:hAnsi="仿宋"/>
        </w:rPr>
      </w:pPr>
      <w:r w:rsidRPr="00E14275">
        <w:rPr>
          <w:rFonts w:ascii="仿宋" w:eastAsia="仿宋" w:hAnsi="仿宋"/>
        </w:rPr>
        <w:t>标准编制过程中，充分考虑了当前我国水稻品种育种</w:t>
      </w:r>
      <w:r w:rsidR="000A052A">
        <w:rPr>
          <w:rFonts w:ascii="仿宋" w:eastAsia="仿宋" w:hAnsi="仿宋" w:hint="eastAsia"/>
        </w:rPr>
        <w:t>现状</w:t>
      </w:r>
      <w:r w:rsidRPr="00E14275">
        <w:rPr>
          <w:rFonts w:ascii="仿宋" w:eastAsia="仿宋" w:hAnsi="仿宋"/>
        </w:rPr>
        <w:t>，基于已公开的1.6万份水稻品种全基因组重测序样本数据集，覆盖了国际主流栽培稻资源及我国具有代表性的育成品种，特别包括籼稻、粳稻两个主要亚种群体，从而确保标准技术路径在</w:t>
      </w:r>
      <w:bookmarkStart w:id="3" w:name="_Hlk206770112"/>
      <w:r w:rsidR="000A052A">
        <w:rPr>
          <w:rFonts w:ascii="仿宋" w:eastAsia="仿宋" w:hAnsi="仿宋" w:hint="eastAsia"/>
        </w:rPr>
        <w:t>籼、粳</w:t>
      </w:r>
      <w:r w:rsidRPr="00E14275">
        <w:rPr>
          <w:rFonts w:ascii="仿宋" w:eastAsia="仿宋" w:hAnsi="仿宋"/>
        </w:rPr>
        <w:t>遗传背景多样性下的普适性和适用性</w:t>
      </w:r>
      <w:bookmarkEnd w:id="3"/>
      <w:r w:rsidRPr="00E14275">
        <w:rPr>
          <w:rFonts w:ascii="仿宋" w:eastAsia="仿宋" w:hAnsi="仿宋"/>
        </w:rPr>
        <w:t>。</w:t>
      </w:r>
    </w:p>
    <w:p w14:paraId="60ED4DC4" w14:textId="1779C4D1" w:rsidR="00F97E11" w:rsidRPr="00E14275" w:rsidRDefault="00F97E11" w:rsidP="00975266">
      <w:pPr>
        <w:ind w:firstLine="420"/>
        <w:rPr>
          <w:rFonts w:ascii="仿宋" w:eastAsia="仿宋" w:hAnsi="仿宋"/>
        </w:rPr>
      </w:pPr>
      <w:r w:rsidRPr="00E14275">
        <w:rPr>
          <w:rFonts w:ascii="仿宋" w:eastAsia="仿宋" w:hAnsi="仿宋"/>
        </w:rPr>
        <w:t>本标准构建的品种鉴定技术体系，系统融合了样品处理、数据获取、测序实施、SNP/</w:t>
      </w:r>
      <w:proofErr w:type="spellStart"/>
      <w:r w:rsidRPr="00E14275">
        <w:rPr>
          <w:rFonts w:ascii="仿宋" w:eastAsia="仿宋" w:hAnsi="仿宋"/>
        </w:rPr>
        <w:t>InDel</w:t>
      </w:r>
      <w:proofErr w:type="spellEnd"/>
      <w:r w:rsidRPr="00E14275">
        <w:rPr>
          <w:rFonts w:ascii="仿宋" w:eastAsia="仿宋" w:hAnsi="仿宋"/>
        </w:rPr>
        <w:t>检测、群体缺失控制、等位基因频率分布评估、连锁不平衡校正、多态性信息评价等多个技术模块。通过对上述因素的充分分析，建立了一套科学合理、稳定可靠的水稻品种与EDV判别技术路线，特别强调在</w:t>
      </w:r>
      <w:r w:rsidR="000A052A" w:rsidRPr="000A052A">
        <w:rPr>
          <w:rFonts w:ascii="仿宋" w:eastAsia="仿宋" w:hAnsi="仿宋" w:hint="eastAsia"/>
        </w:rPr>
        <w:t>籼、粳</w:t>
      </w:r>
      <w:r w:rsidRPr="00E14275">
        <w:rPr>
          <w:rFonts w:ascii="仿宋" w:eastAsia="仿宋" w:hAnsi="仿宋"/>
        </w:rPr>
        <w:t>不同亚群间的适配性和对分子特征变化的敏感性。</w:t>
      </w:r>
    </w:p>
    <w:p w14:paraId="0532B729" w14:textId="0ACD38A4" w:rsidR="00EF7C5C" w:rsidRDefault="00F97E11" w:rsidP="00975266">
      <w:pPr>
        <w:ind w:firstLine="420"/>
        <w:rPr>
          <w:rFonts w:ascii="仿宋" w:eastAsia="仿宋" w:hAnsi="仿宋"/>
        </w:rPr>
      </w:pPr>
      <w:r w:rsidRPr="00E14275">
        <w:rPr>
          <w:rFonts w:ascii="仿宋" w:eastAsia="仿宋" w:hAnsi="仿宋"/>
        </w:rPr>
        <w:t>同时，本标准与现行国家层面的分子检测技术规范、种业知识产权保护政策高度衔接，为今后各类分子水平品种真实性判定提供了通用基础。</w:t>
      </w:r>
    </w:p>
    <w:p w14:paraId="01B8545F" w14:textId="77777777" w:rsidR="00975266" w:rsidRPr="00E14275" w:rsidRDefault="00975266" w:rsidP="00975266">
      <w:pPr>
        <w:ind w:firstLine="420"/>
        <w:rPr>
          <w:rFonts w:ascii="仿宋" w:eastAsia="仿宋" w:hAnsi="仿宋"/>
        </w:rPr>
      </w:pPr>
    </w:p>
    <w:p w14:paraId="3200830C" w14:textId="41FA04AD" w:rsidR="00622E03" w:rsidRPr="00975266" w:rsidRDefault="001A3C81">
      <w:pPr>
        <w:rPr>
          <w:rFonts w:ascii="仿宋" w:eastAsia="仿宋" w:hAnsi="仿宋"/>
          <w:b/>
          <w:bCs/>
        </w:rPr>
      </w:pPr>
      <w:r w:rsidRPr="00975266">
        <w:rPr>
          <w:rFonts w:ascii="仿宋" w:eastAsia="仿宋" w:hAnsi="仿宋" w:hint="eastAsia"/>
          <w:b/>
          <w:bCs/>
        </w:rPr>
        <w:t xml:space="preserve">2. </w:t>
      </w:r>
      <w:r w:rsidR="00622E03" w:rsidRPr="00975266">
        <w:rPr>
          <w:rFonts w:ascii="仿宋" w:eastAsia="仿宋" w:hAnsi="仿宋" w:hint="eastAsia"/>
          <w:b/>
          <w:bCs/>
        </w:rPr>
        <w:t>基本原理：</w:t>
      </w:r>
    </w:p>
    <w:p w14:paraId="049B5283" w14:textId="6B4BEB67" w:rsidR="00963B15" w:rsidRPr="00975266" w:rsidRDefault="001A3C81">
      <w:pPr>
        <w:rPr>
          <w:rFonts w:ascii="仿宋" w:eastAsia="仿宋" w:hAnsi="仿宋"/>
          <w:b/>
          <w:bCs/>
        </w:rPr>
      </w:pPr>
      <w:r w:rsidRPr="00975266">
        <w:rPr>
          <w:rFonts w:ascii="仿宋" w:eastAsia="仿宋" w:hAnsi="仿宋" w:hint="eastAsia"/>
          <w:b/>
          <w:bCs/>
        </w:rPr>
        <w:t>（1）</w:t>
      </w:r>
      <w:r w:rsidR="00963B15" w:rsidRPr="00975266">
        <w:rPr>
          <w:rFonts w:ascii="仿宋" w:eastAsia="仿宋" w:hAnsi="仿宋" w:hint="eastAsia"/>
          <w:b/>
          <w:bCs/>
        </w:rPr>
        <w:t>水稻全基因组区域SNP位点选择</w:t>
      </w:r>
    </w:p>
    <w:p w14:paraId="4ED3293E" w14:textId="77777777" w:rsidR="005178E9" w:rsidRPr="00E14275" w:rsidRDefault="005178E9" w:rsidP="00975266">
      <w:pPr>
        <w:ind w:firstLine="420"/>
        <w:rPr>
          <w:rFonts w:ascii="仿宋" w:eastAsia="仿宋" w:hAnsi="仿宋"/>
        </w:rPr>
      </w:pPr>
      <w:r w:rsidRPr="00E14275">
        <w:rPr>
          <w:rFonts w:ascii="仿宋" w:eastAsia="仿宋" w:hAnsi="仿宋"/>
        </w:rPr>
        <w:t>在实质性派生品种（EDV）鉴定中，准确评估品种间的遗传相似度是关键环节。为提高相似度计算的精度，本标准在满足水稻全基因组重测序数据测序深度和覆盖度要求的基础上，选用中国五大水稻主产区的6044份代表性品种的重测序数据作为背景群体，开展SNP位点筛选工作。</w:t>
      </w:r>
    </w:p>
    <w:p w14:paraId="51A46273" w14:textId="18E58C6C" w:rsidR="005178E9" w:rsidRPr="00E14275" w:rsidRDefault="005178E9" w:rsidP="00975266">
      <w:pPr>
        <w:ind w:firstLine="420"/>
        <w:rPr>
          <w:rFonts w:ascii="仿宋" w:eastAsia="仿宋" w:hAnsi="仿宋"/>
        </w:rPr>
      </w:pPr>
      <w:r w:rsidRPr="00E14275">
        <w:rPr>
          <w:rFonts w:ascii="仿宋" w:eastAsia="仿宋" w:hAnsi="仿宋"/>
        </w:rPr>
        <w:t>筛选过程中，设定以下标准以确保标记的多态性与代表性：最小等位基因频率（MAF）≥ 0.05、群体缺失率 ≤ 0.02、连锁不平衡系数（</w:t>
      </w:r>
      <w:r w:rsidRPr="008A3A36">
        <w:rPr>
          <w:rFonts w:ascii="仿宋" w:eastAsia="仿宋" w:hAnsi="仿宋"/>
          <w:i/>
          <w:iCs/>
        </w:rPr>
        <w:t>r</w:t>
      </w:r>
      <w:r w:rsidRPr="008A3A36">
        <w:rPr>
          <w:rFonts w:ascii="Calibri" w:eastAsia="仿宋" w:hAnsi="Calibri" w:cs="Calibri"/>
          <w:i/>
          <w:iCs/>
        </w:rPr>
        <w:t>²</w:t>
      </w:r>
      <w:r w:rsidRPr="00E14275">
        <w:rPr>
          <w:rFonts w:ascii="仿宋" w:eastAsia="仿宋" w:hAnsi="仿宋"/>
        </w:rPr>
        <w:t>）≤ 0.1、以及多态性信息含量（PIC）≥ 0.15。上述条件旨在获得一套在籼稻与粳稻两个主要亚群体中分布均衡、遗传结构差异较小的核心SNP位点集。通过对筛选后位点的群体相似度分布进行评估，确保籼稻与粳稻在中心区域和右尾区域的相似度分布曲线尽可能接近，从而便于</w:t>
      </w:r>
      <w:r w:rsidR="00655B4B">
        <w:rPr>
          <w:rFonts w:ascii="仿宋" w:eastAsia="仿宋" w:hAnsi="仿宋" w:hint="eastAsia"/>
        </w:rPr>
        <w:t>对</w:t>
      </w:r>
      <w:r w:rsidR="00655B4B" w:rsidRPr="00655B4B">
        <w:rPr>
          <w:rFonts w:ascii="仿宋" w:eastAsia="仿宋" w:hAnsi="仿宋" w:hint="eastAsia"/>
        </w:rPr>
        <w:t>籼稻与粳稻</w:t>
      </w:r>
      <w:r w:rsidRPr="00E14275">
        <w:rPr>
          <w:rFonts w:ascii="仿宋" w:eastAsia="仿宋" w:hAnsi="仿宋"/>
        </w:rPr>
        <w:t>设定统一的遗传相似度判定阈值，提升不同亚群体之间EDV判定的一致性与适用性。</w:t>
      </w:r>
    </w:p>
    <w:p w14:paraId="758866A6" w14:textId="31D7A7A6" w:rsidR="005178E9" w:rsidRPr="00E14275" w:rsidRDefault="005178E9" w:rsidP="00975266">
      <w:pPr>
        <w:ind w:firstLine="420"/>
        <w:rPr>
          <w:rFonts w:ascii="仿宋" w:eastAsia="仿宋" w:hAnsi="仿宋"/>
        </w:rPr>
      </w:pPr>
      <w:r w:rsidRPr="00E14275">
        <w:rPr>
          <w:rFonts w:ascii="仿宋" w:eastAsia="仿宋" w:hAnsi="仿宋"/>
        </w:rPr>
        <w:t>最终筛选得到15</w:t>
      </w:r>
      <w:r w:rsidR="00A51210">
        <w:rPr>
          <w:rFonts w:ascii="仿宋" w:eastAsia="仿宋" w:hAnsi="仿宋" w:hint="eastAsia"/>
        </w:rPr>
        <w:t>,</w:t>
      </w:r>
      <w:r w:rsidRPr="00E14275">
        <w:rPr>
          <w:rFonts w:ascii="仿宋" w:eastAsia="仿宋" w:hAnsi="仿宋"/>
        </w:rPr>
        <w:t>772个SNP位点作为本标准推荐的核心标记。这些位点在水稻全基因组范围内分布较为均匀，平均每条染色体包含约1314.33个位点，其染色体上的分布情况详见图1。</w:t>
      </w:r>
    </w:p>
    <w:p w14:paraId="4639755E" w14:textId="52602473" w:rsidR="001707CA" w:rsidRPr="00E14275" w:rsidRDefault="00430818" w:rsidP="00430818">
      <w:pPr>
        <w:jc w:val="center"/>
        <w:rPr>
          <w:rFonts w:ascii="仿宋" w:eastAsia="仿宋" w:hAnsi="仿宋"/>
        </w:rPr>
      </w:pPr>
      <w:r w:rsidRPr="00E14275">
        <w:rPr>
          <w:rFonts w:ascii="仿宋" w:eastAsia="仿宋" w:hAnsi="仿宋" w:hint="eastAsia"/>
          <w:noProof/>
        </w:rPr>
        <w:lastRenderedPageBreak/>
        <w:drawing>
          <wp:inline distT="0" distB="0" distL="0" distR="0" wp14:anchorId="4D633B99" wp14:editId="4AE78EE4">
            <wp:extent cx="2743200" cy="3603877"/>
            <wp:effectExtent l="0" t="0" r="0" b="3175"/>
            <wp:docPr id="1151948081" name="图片 7"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48081" name="图片 7" descr="表格&#10;&#10;AI 生成的内容可能不正确。"/>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3008" cy="3629900"/>
                    </a:xfrm>
                    <a:prstGeom prst="rect">
                      <a:avLst/>
                    </a:prstGeom>
                  </pic:spPr>
                </pic:pic>
              </a:graphicData>
            </a:graphic>
          </wp:inline>
        </w:drawing>
      </w:r>
    </w:p>
    <w:p w14:paraId="5EE4ACC1" w14:textId="0B376C28" w:rsidR="00D23053" w:rsidRPr="00E14275" w:rsidRDefault="00123E6B" w:rsidP="00430818">
      <w:pPr>
        <w:jc w:val="center"/>
        <w:rPr>
          <w:rFonts w:ascii="仿宋" w:eastAsia="仿宋" w:hAnsi="仿宋"/>
        </w:rPr>
      </w:pPr>
      <w:r w:rsidRPr="00E14275">
        <w:rPr>
          <w:rFonts w:ascii="仿宋" w:eastAsia="仿宋" w:hAnsi="仿宋" w:hint="eastAsia"/>
        </w:rPr>
        <w:t>图1. （A）</w:t>
      </w:r>
      <w:bookmarkStart w:id="4" w:name="_Hlk206771224"/>
      <w:r w:rsidR="00A51210" w:rsidRPr="00A51210">
        <w:rPr>
          <w:rFonts w:ascii="仿宋" w:eastAsia="仿宋" w:hAnsi="仿宋" w:hint="eastAsia"/>
        </w:rPr>
        <w:t>15,772</w:t>
      </w:r>
      <w:r w:rsidR="00A51210">
        <w:rPr>
          <w:rFonts w:ascii="仿宋" w:eastAsia="仿宋" w:hAnsi="仿宋" w:hint="eastAsia"/>
        </w:rPr>
        <w:t>个</w:t>
      </w:r>
      <w:bookmarkEnd w:id="4"/>
      <w:r w:rsidRPr="00E14275">
        <w:rPr>
          <w:rFonts w:ascii="仿宋" w:eastAsia="仿宋" w:hAnsi="仿宋" w:hint="eastAsia"/>
        </w:rPr>
        <w:t>SNP位点在染色体上分布数目。（B）</w:t>
      </w:r>
      <w:r w:rsidR="00A51210" w:rsidRPr="00A51210">
        <w:rPr>
          <w:rFonts w:ascii="仿宋" w:eastAsia="仿宋" w:hAnsi="仿宋" w:hint="eastAsia"/>
        </w:rPr>
        <w:t>15,772个</w:t>
      </w:r>
      <w:r w:rsidRPr="00E14275">
        <w:rPr>
          <w:rFonts w:ascii="仿宋" w:eastAsia="仿宋" w:hAnsi="仿宋" w:hint="eastAsia"/>
        </w:rPr>
        <w:t>SNP位点在基因组上的分布。</w:t>
      </w:r>
    </w:p>
    <w:p w14:paraId="09F0F5EC" w14:textId="77777777" w:rsidR="00123E6B" w:rsidRPr="00E14275" w:rsidRDefault="00123E6B">
      <w:pPr>
        <w:rPr>
          <w:rFonts w:ascii="仿宋" w:eastAsia="仿宋" w:hAnsi="仿宋"/>
        </w:rPr>
      </w:pPr>
    </w:p>
    <w:p w14:paraId="42F2321E" w14:textId="574798A7" w:rsidR="00963B15" w:rsidRPr="00975266" w:rsidRDefault="008719F0">
      <w:pPr>
        <w:rPr>
          <w:rFonts w:ascii="仿宋" w:eastAsia="仿宋" w:hAnsi="仿宋"/>
          <w:b/>
          <w:bCs/>
        </w:rPr>
      </w:pPr>
      <w:r w:rsidRPr="00975266">
        <w:rPr>
          <w:rFonts w:ascii="仿宋" w:eastAsia="仿宋" w:hAnsi="仿宋" w:hint="eastAsia"/>
          <w:b/>
          <w:bCs/>
        </w:rPr>
        <w:t>（2）</w:t>
      </w:r>
      <w:r w:rsidR="00963B15" w:rsidRPr="00975266">
        <w:rPr>
          <w:rFonts w:ascii="仿宋" w:eastAsia="仿宋" w:hAnsi="仿宋" w:hint="eastAsia"/>
          <w:b/>
          <w:bCs/>
        </w:rPr>
        <w:t>选择的SNP位点对于亚群遗传背景的区分能力</w:t>
      </w:r>
    </w:p>
    <w:p w14:paraId="562B5A06" w14:textId="51E3CE21" w:rsidR="00246B09" w:rsidRPr="00E14275" w:rsidRDefault="00123E6B" w:rsidP="00975266">
      <w:pPr>
        <w:ind w:firstLine="420"/>
        <w:rPr>
          <w:rFonts w:ascii="仿宋" w:eastAsia="仿宋" w:hAnsi="仿宋"/>
        </w:rPr>
      </w:pPr>
      <w:r w:rsidRPr="00E14275">
        <w:rPr>
          <w:rFonts w:ascii="仿宋" w:eastAsia="仿宋" w:hAnsi="仿宋" w:hint="eastAsia"/>
        </w:rPr>
        <w:t>根据选择的15772个SNP 位点，对</w:t>
      </w:r>
      <w:r w:rsidR="00D075AA">
        <w:rPr>
          <w:rFonts w:ascii="仿宋" w:eastAsia="仿宋" w:hAnsi="仿宋" w:hint="eastAsia"/>
        </w:rPr>
        <w:t>来自中国</w:t>
      </w:r>
      <w:r w:rsidR="00D075AA" w:rsidRPr="00E14275">
        <w:rPr>
          <w:rFonts w:ascii="仿宋" w:eastAsia="仿宋" w:hAnsi="仿宋"/>
        </w:rPr>
        <w:t>五大水稻主产区</w:t>
      </w:r>
      <w:r w:rsidR="00D075AA">
        <w:rPr>
          <w:rFonts w:ascii="仿宋" w:eastAsia="仿宋" w:hAnsi="仿宋"/>
        </w:rPr>
        <w:t>的</w:t>
      </w:r>
      <w:r w:rsidRPr="00E14275">
        <w:rPr>
          <w:rFonts w:ascii="仿宋" w:eastAsia="仿宋" w:hAnsi="仿宋" w:hint="eastAsia"/>
        </w:rPr>
        <w:t>6044份</w:t>
      </w:r>
      <w:r w:rsidRPr="00E14275">
        <w:rPr>
          <w:rFonts w:ascii="仿宋" w:eastAsia="仿宋" w:hAnsi="仿宋"/>
        </w:rPr>
        <w:t>现代栽培水稻</w:t>
      </w:r>
      <w:r w:rsidR="00CE22FB">
        <w:rPr>
          <w:rFonts w:ascii="仿宋" w:eastAsia="仿宋" w:hAnsi="仿宋" w:hint="eastAsia"/>
        </w:rPr>
        <w:t>品种</w:t>
      </w:r>
      <w:r w:rsidR="00655B4B">
        <w:rPr>
          <w:rFonts w:ascii="仿宋" w:eastAsia="仿宋" w:hAnsi="仿宋" w:hint="eastAsia"/>
        </w:rPr>
        <w:t>两两样品之间</w:t>
      </w:r>
      <w:r w:rsidRPr="00E14275">
        <w:rPr>
          <w:rFonts w:ascii="仿宋" w:eastAsia="仿宋" w:hAnsi="仿宋" w:hint="eastAsia"/>
        </w:rPr>
        <w:t>进行遗传相似</w:t>
      </w:r>
      <w:r w:rsidR="008A664C">
        <w:rPr>
          <w:rFonts w:ascii="仿宋" w:eastAsia="仿宋" w:hAnsi="仿宋" w:hint="eastAsia"/>
        </w:rPr>
        <w:t>度（Gene</w:t>
      </w:r>
      <w:r w:rsidR="008A664C" w:rsidRPr="008A664C">
        <w:rPr>
          <w:rFonts w:ascii="仿宋" w:eastAsia="仿宋" w:hAnsi="仿宋" w:hint="eastAsia"/>
        </w:rPr>
        <w:t xml:space="preserve">tic </w:t>
      </w:r>
      <w:r w:rsidR="008A664C">
        <w:rPr>
          <w:rFonts w:ascii="仿宋" w:eastAsia="仿宋" w:hAnsi="仿宋" w:hint="eastAsia"/>
        </w:rPr>
        <w:t>S</w:t>
      </w:r>
      <w:r w:rsidR="008A664C" w:rsidRPr="008A664C">
        <w:rPr>
          <w:rFonts w:ascii="仿宋" w:eastAsia="仿宋" w:hAnsi="仿宋" w:hint="eastAsia"/>
        </w:rPr>
        <w:t>imilarity</w:t>
      </w:r>
      <w:r w:rsidR="008A664C">
        <w:rPr>
          <w:rFonts w:ascii="仿宋" w:eastAsia="仿宋" w:hAnsi="仿宋" w:hint="eastAsia"/>
        </w:rPr>
        <w:t>, GS</w:t>
      </w:r>
      <w:r w:rsidR="008A664C">
        <w:rPr>
          <w:rFonts w:ascii="仿宋" w:eastAsia="仿宋" w:hAnsi="仿宋"/>
        </w:rPr>
        <w:t>）</w:t>
      </w:r>
      <w:r w:rsidRPr="00E14275">
        <w:rPr>
          <w:rFonts w:ascii="仿宋" w:eastAsia="仿宋" w:hAnsi="仿宋" w:hint="eastAsia"/>
        </w:rPr>
        <w:t>计算</w:t>
      </w:r>
      <w:r w:rsidR="00865686">
        <w:rPr>
          <w:rFonts w:ascii="仿宋" w:eastAsia="仿宋" w:hAnsi="仿宋" w:hint="eastAsia"/>
        </w:rPr>
        <w:t>结果显示，</w:t>
      </w:r>
      <w:bookmarkStart w:id="5" w:name="_Hlk206771638"/>
      <w:r w:rsidR="00A51210">
        <w:rPr>
          <w:rFonts w:ascii="仿宋" w:eastAsia="仿宋" w:hAnsi="仿宋" w:hint="eastAsia"/>
        </w:rPr>
        <w:t>在</w:t>
      </w:r>
      <w:r w:rsidRPr="00E14275">
        <w:rPr>
          <w:rFonts w:ascii="仿宋" w:eastAsia="仿宋" w:hAnsi="仿宋" w:hint="eastAsia"/>
        </w:rPr>
        <w:t>籼稻、粳稻</w:t>
      </w:r>
      <w:bookmarkStart w:id="6" w:name="_Hlk199255695"/>
      <w:r w:rsidR="00865686">
        <w:rPr>
          <w:rFonts w:ascii="仿宋" w:eastAsia="仿宋" w:hAnsi="仿宋" w:hint="eastAsia"/>
        </w:rPr>
        <w:t>群体内部</w:t>
      </w:r>
      <w:bookmarkEnd w:id="5"/>
      <w:r w:rsidR="00865686">
        <w:rPr>
          <w:rFonts w:ascii="仿宋" w:eastAsia="仿宋" w:hAnsi="仿宋" w:hint="eastAsia"/>
        </w:rPr>
        <w:t>，</w:t>
      </w:r>
      <w:bookmarkStart w:id="7" w:name="_Hlk199255839"/>
      <w:r w:rsidR="00865686" w:rsidRPr="00865686">
        <w:rPr>
          <w:rFonts w:ascii="仿宋" w:eastAsia="仿宋" w:hAnsi="仿宋" w:hint="eastAsia"/>
        </w:rPr>
        <w:t>两两样品之间遗传相似</w:t>
      </w:r>
      <w:r w:rsidR="00865686">
        <w:rPr>
          <w:rFonts w:ascii="仿宋" w:eastAsia="仿宋" w:hAnsi="仿宋" w:hint="eastAsia"/>
        </w:rPr>
        <w:t>度</w:t>
      </w:r>
      <w:bookmarkEnd w:id="6"/>
      <w:bookmarkEnd w:id="7"/>
      <w:r w:rsidRPr="00E14275">
        <w:rPr>
          <w:rFonts w:ascii="仿宋" w:eastAsia="仿宋" w:hAnsi="仿宋" w:hint="eastAsia"/>
        </w:rPr>
        <w:t>分布背景趋于一致</w:t>
      </w:r>
      <w:r w:rsidR="00A51210">
        <w:rPr>
          <w:rFonts w:ascii="仿宋" w:eastAsia="仿宋" w:hAnsi="仿宋" w:hint="eastAsia"/>
        </w:rPr>
        <w:t>，并且，能够与一份</w:t>
      </w:r>
      <w:r w:rsidR="00A51210" w:rsidRPr="00A51210">
        <w:rPr>
          <w:rFonts w:ascii="仿宋" w:eastAsia="仿宋" w:hAnsi="仿宋" w:hint="eastAsia"/>
        </w:rPr>
        <w:t>籼稻、</w:t>
      </w:r>
      <w:r w:rsidR="00A51210">
        <w:rPr>
          <w:rFonts w:ascii="仿宋" w:eastAsia="仿宋" w:hAnsi="仿宋" w:hint="eastAsia"/>
        </w:rPr>
        <w:t>一份</w:t>
      </w:r>
      <w:r w:rsidR="00A51210" w:rsidRPr="00A51210">
        <w:rPr>
          <w:rFonts w:ascii="仿宋" w:eastAsia="仿宋" w:hAnsi="仿宋" w:hint="eastAsia"/>
        </w:rPr>
        <w:t>粳稻</w:t>
      </w:r>
      <w:r w:rsidR="00A51210">
        <w:rPr>
          <w:rFonts w:ascii="仿宋" w:eastAsia="仿宋" w:hAnsi="仿宋" w:hint="eastAsia"/>
        </w:rPr>
        <w:t>组成的样品对明显区分</w:t>
      </w:r>
      <w:r w:rsidR="00655B4B" w:rsidRPr="00E14275">
        <w:rPr>
          <w:rFonts w:ascii="仿宋" w:eastAsia="仿宋" w:hAnsi="仿宋" w:hint="eastAsia"/>
        </w:rPr>
        <w:t>（图2.A）</w:t>
      </w:r>
      <w:r w:rsidRPr="00E14275">
        <w:rPr>
          <w:rFonts w:ascii="仿宋" w:eastAsia="仿宋" w:hAnsi="仿宋" w:hint="eastAsia"/>
        </w:rPr>
        <w:t>。</w:t>
      </w:r>
      <w:r w:rsidR="00865686">
        <w:rPr>
          <w:rFonts w:ascii="仿宋" w:eastAsia="仿宋" w:hAnsi="仿宋" w:hint="eastAsia"/>
        </w:rPr>
        <w:t>为了进一步验证所选SNP集对于水稻</w:t>
      </w:r>
      <w:r w:rsidR="001954D8" w:rsidRPr="001954D8">
        <w:rPr>
          <w:rFonts w:ascii="仿宋" w:eastAsia="仿宋" w:hAnsi="仿宋" w:hint="eastAsia"/>
        </w:rPr>
        <w:t>籼、粳</w:t>
      </w:r>
      <w:r w:rsidR="00865686">
        <w:rPr>
          <w:rFonts w:ascii="仿宋" w:eastAsia="仿宋" w:hAnsi="仿宋" w:hint="eastAsia"/>
        </w:rPr>
        <w:t>亚群遗传背景的区分能力，我们</w:t>
      </w:r>
      <w:r w:rsidRPr="00E14275">
        <w:rPr>
          <w:rFonts w:ascii="仿宋" w:eastAsia="仿宋" w:hAnsi="仿宋" w:hint="eastAsia"/>
        </w:rPr>
        <w:t>以另一组万份水稻重测序数据</w:t>
      </w:r>
      <w:r w:rsidR="00246B09" w:rsidRPr="00E14275">
        <w:rPr>
          <w:rFonts w:ascii="仿宋" w:eastAsia="仿宋" w:hAnsi="仿宋" w:hint="eastAsia"/>
        </w:rPr>
        <w:t>集作为</w:t>
      </w:r>
      <w:r w:rsidR="00865686">
        <w:rPr>
          <w:rFonts w:ascii="仿宋" w:eastAsia="仿宋" w:hAnsi="仿宋" w:hint="eastAsia"/>
        </w:rPr>
        <w:t>第二次</w:t>
      </w:r>
      <w:r w:rsidR="00246B09" w:rsidRPr="00E14275">
        <w:rPr>
          <w:rFonts w:ascii="仿宋" w:eastAsia="仿宋" w:hAnsi="仿宋" w:hint="eastAsia"/>
        </w:rPr>
        <w:t>验证</w:t>
      </w:r>
      <w:r w:rsidR="00D075AA">
        <w:rPr>
          <w:rFonts w:ascii="仿宋" w:eastAsia="仿宋" w:hAnsi="仿宋" w:hint="eastAsia"/>
        </w:rPr>
        <w:t>。</w:t>
      </w:r>
      <w:r w:rsidRPr="00E14275">
        <w:rPr>
          <w:rFonts w:ascii="仿宋" w:eastAsia="仿宋" w:hAnsi="仿宋" w:hint="eastAsia"/>
        </w:rPr>
        <w:t>满</w:t>
      </w:r>
      <w:r w:rsidRPr="008A3A36">
        <w:rPr>
          <w:rFonts w:ascii="仿宋" w:eastAsia="仿宋" w:hAnsi="仿宋" w:hint="eastAsia"/>
        </w:rPr>
        <w:t>足测序量与测序覆盖</w:t>
      </w:r>
      <w:r w:rsidR="00865686" w:rsidRPr="008A3A36">
        <w:rPr>
          <w:rFonts w:ascii="仿宋" w:eastAsia="仿宋" w:hAnsi="仿宋" w:hint="eastAsia"/>
        </w:rPr>
        <w:t>度（</w:t>
      </w:r>
      <w:r w:rsidR="002E3508" w:rsidRPr="008A3A36">
        <w:rPr>
          <w:rFonts w:ascii="仿宋" w:eastAsia="仿宋" w:hAnsi="仿宋" w:hint="eastAsia"/>
        </w:rPr>
        <w:t>测序量</w:t>
      </w:r>
      <w:r w:rsidR="002E3508" w:rsidRPr="008A3A36">
        <w:rPr>
          <w:rFonts w:ascii="仿宋" w:eastAsia="仿宋" w:hAnsi="仿宋"/>
        </w:rPr>
        <w:t>&gt;=8,</w:t>
      </w:r>
      <w:r w:rsidR="002E3508" w:rsidRPr="008A3A36">
        <w:rPr>
          <w:rFonts w:ascii="仿宋" w:eastAsia="仿宋" w:hAnsi="仿宋" w:hint="eastAsia"/>
        </w:rPr>
        <w:t>基因组覆盖度</w:t>
      </w:r>
      <w:r w:rsidR="002E3508" w:rsidRPr="008A3A36">
        <w:rPr>
          <w:rFonts w:ascii="仿宋" w:eastAsia="仿宋" w:hAnsi="仿宋"/>
        </w:rPr>
        <w:t>&gt;=0.9</w:t>
      </w:r>
      <w:r w:rsidR="00865686" w:rsidRPr="008A3A36">
        <w:rPr>
          <w:rFonts w:ascii="仿宋" w:eastAsia="仿宋" w:hAnsi="仿宋" w:hint="eastAsia"/>
        </w:rPr>
        <w:t>）</w:t>
      </w:r>
      <w:r w:rsidRPr="008A3A36">
        <w:rPr>
          <w:rFonts w:ascii="仿宋" w:eastAsia="仿宋" w:hAnsi="仿宋" w:hint="eastAsia"/>
        </w:rPr>
        <w:t>的</w:t>
      </w:r>
      <w:r w:rsidR="00865686" w:rsidRPr="008A3A36">
        <w:rPr>
          <w:rFonts w:ascii="仿宋" w:eastAsia="仿宋" w:hAnsi="仿宋" w:hint="eastAsia"/>
        </w:rPr>
        <w:t>样品</w:t>
      </w:r>
      <w:r w:rsidR="00246B09" w:rsidRPr="00E14275">
        <w:rPr>
          <w:rFonts w:ascii="仿宋" w:eastAsia="仿宋" w:hAnsi="仿宋" w:hint="eastAsia"/>
        </w:rPr>
        <w:t>总共</w:t>
      </w:r>
      <w:r w:rsidR="00865686">
        <w:rPr>
          <w:rFonts w:ascii="仿宋" w:eastAsia="仿宋" w:hAnsi="仿宋" w:hint="eastAsia"/>
        </w:rPr>
        <w:t>有</w:t>
      </w:r>
      <w:r w:rsidR="00246B09" w:rsidRPr="00E14275">
        <w:rPr>
          <w:rFonts w:ascii="仿宋" w:eastAsia="仿宋" w:hAnsi="仿宋"/>
        </w:rPr>
        <w:t>5398</w:t>
      </w:r>
      <w:r w:rsidR="00865686">
        <w:rPr>
          <w:rFonts w:ascii="仿宋" w:eastAsia="仿宋" w:hAnsi="仿宋" w:hint="eastAsia"/>
        </w:rPr>
        <w:t>份</w:t>
      </w:r>
      <w:r w:rsidR="00246B09" w:rsidRPr="00E14275">
        <w:rPr>
          <w:rFonts w:ascii="仿宋" w:eastAsia="仿宋" w:hAnsi="仿宋" w:hint="eastAsia"/>
        </w:rPr>
        <w:t>，</w:t>
      </w:r>
      <w:r w:rsidR="00865686">
        <w:rPr>
          <w:rFonts w:ascii="仿宋" w:eastAsia="仿宋" w:hAnsi="仿宋" w:hint="eastAsia"/>
        </w:rPr>
        <w:t>结果显示，在这一组测试样品中，</w:t>
      </w:r>
      <w:r w:rsidR="00246B09" w:rsidRPr="00E14275">
        <w:rPr>
          <w:rFonts w:ascii="仿宋" w:eastAsia="仿宋" w:hAnsi="仿宋" w:hint="eastAsia"/>
        </w:rPr>
        <w:t>籼稻、粳稻</w:t>
      </w:r>
      <w:r w:rsidR="00865686" w:rsidRPr="00865686">
        <w:rPr>
          <w:rFonts w:ascii="仿宋" w:eastAsia="仿宋" w:hAnsi="仿宋" w:hint="eastAsia"/>
        </w:rPr>
        <w:t>群体内部两两样品之间遗传相似度</w:t>
      </w:r>
      <w:r w:rsidR="00246B09" w:rsidRPr="00E14275">
        <w:rPr>
          <w:rFonts w:ascii="仿宋" w:eastAsia="仿宋" w:hAnsi="仿宋" w:hint="eastAsia"/>
        </w:rPr>
        <w:t>分布背景也趋于一致（图2.B）</w:t>
      </w:r>
      <w:r w:rsidR="00865686">
        <w:rPr>
          <w:rFonts w:ascii="仿宋" w:eastAsia="仿宋" w:hAnsi="仿宋" w:hint="eastAsia"/>
        </w:rPr>
        <w:t>。以上两批测试样品集中</w:t>
      </w:r>
      <w:r w:rsidR="00865686" w:rsidRPr="00865686">
        <w:rPr>
          <w:rFonts w:ascii="仿宋" w:eastAsia="仿宋" w:hAnsi="仿宋" w:hint="eastAsia"/>
        </w:rPr>
        <w:t>两两样品之间</w:t>
      </w:r>
      <w:r w:rsidR="00865686">
        <w:rPr>
          <w:rFonts w:ascii="仿宋" w:eastAsia="仿宋" w:hAnsi="仿宋" w:hint="eastAsia"/>
        </w:rPr>
        <w:t>的</w:t>
      </w:r>
      <w:r w:rsidR="00865686" w:rsidRPr="00865686">
        <w:rPr>
          <w:rFonts w:ascii="仿宋" w:eastAsia="仿宋" w:hAnsi="仿宋" w:hint="eastAsia"/>
        </w:rPr>
        <w:t>遗传相似度</w:t>
      </w:r>
      <w:r w:rsidR="00865686">
        <w:rPr>
          <w:rFonts w:ascii="仿宋" w:eastAsia="仿宋" w:hAnsi="仿宋" w:hint="eastAsia"/>
        </w:rPr>
        <w:t>结果表明，</w:t>
      </w:r>
      <w:r w:rsidR="00246B09" w:rsidRPr="00E14275">
        <w:rPr>
          <w:rFonts w:ascii="仿宋" w:eastAsia="仿宋" w:hAnsi="仿宋" w:hint="eastAsia"/>
        </w:rPr>
        <w:t>以</w:t>
      </w:r>
      <w:r w:rsidR="00865686">
        <w:rPr>
          <w:rFonts w:ascii="仿宋" w:eastAsia="仿宋" w:hAnsi="仿宋" w:hint="eastAsia"/>
        </w:rPr>
        <w:t>我们选择的15772个SNP</w:t>
      </w:r>
      <w:r w:rsidR="00246B09" w:rsidRPr="00E14275">
        <w:rPr>
          <w:rFonts w:ascii="仿宋" w:eastAsia="仿宋" w:hAnsi="仿宋" w:hint="eastAsia"/>
        </w:rPr>
        <w:t>数据集</w:t>
      </w:r>
      <w:r w:rsidR="00865686">
        <w:rPr>
          <w:rFonts w:ascii="仿宋" w:eastAsia="仿宋" w:hAnsi="仿宋" w:hint="eastAsia"/>
        </w:rPr>
        <w:t>确定水稻EDV判定</w:t>
      </w:r>
      <w:r w:rsidR="00246B09" w:rsidRPr="00E14275">
        <w:rPr>
          <w:rFonts w:ascii="仿宋" w:eastAsia="仿宋" w:hAnsi="仿宋" w:hint="eastAsia"/>
        </w:rPr>
        <w:t>阈值</w:t>
      </w:r>
      <w:r w:rsidR="00865686">
        <w:rPr>
          <w:rFonts w:ascii="仿宋" w:eastAsia="仿宋" w:hAnsi="仿宋" w:hint="eastAsia"/>
        </w:rPr>
        <w:t>时</w:t>
      </w:r>
      <w:r w:rsidR="00246B09" w:rsidRPr="00E14275">
        <w:rPr>
          <w:rFonts w:ascii="仿宋" w:eastAsia="仿宋" w:hAnsi="仿宋" w:hint="eastAsia"/>
        </w:rPr>
        <w:t>选定，能够对籼、粳两类最大的现代栽培稻提供较为一致的阈值划定。</w:t>
      </w:r>
    </w:p>
    <w:p w14:paraId="791A08A4" w14:textId="0F84EA11" w:rsidR="00A20212" w:rsidRPr="00E14275" w:rsidRDefault="00D075AA" w:rsidP="00975266">
      <w:pPr>
        <w:ind w:firstLine="420"/>
        <w:rPr>
          <w:rFonts w:ascii="仿宋" w:eastAsia="仿宋" w:hAnsi="仿宋"/>
        </w:rPr>
      </w:pPr>
      <w:r>
        <w:rPr>
          <w:rFonts w:ascii="仿宋" w:eastAsia="仿宋" w:hAnsi="仿宋"/>
        </w:rPr>
        <w:t>此外</w:t>
      </w:r>
      <w:r>
        <w:rPr>
          <w:rFonts w:ascii="仿宋" w:eastAsia="仿宋" w:hAnsi="仿宋" w:hint="eastAsia"/>
        </w:rPr>
        <w:t>，</w:t>
      </w:r>
      <w:r w:rsidR="00A20212" w:rsidRPr="00E14275">
        <w:rPr>
          <w:rFonts w:ascii="仿宋" w:eastAsia="仿宋" w:hAnsi="仿宋"/>
        </w:rPr>
        <w:t>基于前述筛选得到的15772个SNP位点，对</w:t>
      </w:r>
      <w:r w:rsidR="00C9007D">
        <w:rPr>
          <w:rFonts w:ascii="仿宋" w:eastAsia="仿宋" w:hAnsi="仿宋" w:hint="eastAsia"/>
        </w:rPr>
        <w:t>前述</w:t>
      </w:r>
      <w:r w:rsidR="00A20212" w:rsidRPr="00E14275">
        <w:rPr>
          <w:rFonts w:ascii="仿宋" w:eastAsia="仿宋" w:hAnsi="仿宋"/>
        </w:rPr>
        <w:t>6044份现代栽培品种</w:t>
      </w:r>
      <w:r w:rsidR="00C9007D">
        <w:rPr>
          <w:rFonts w:ascii="仿宋" w:eastAsia="仿宋" w:hAnsi="仿宋"/>
        </w:rPr>
        <w:t>和</w:t>
      </w:r>
      <w:r w:rsidR="00C9007D">
        <w:rPr>
          <w:rFonts w:ascii="仿宋" w:eastAsia="仿宋" w:hAnsi="仿宋" w:hint="eastAsia"/>
        </w:rPr>
        <w:t>5398</w:t>
      </w:r>
      <w:r w:rsidR="00C9007D">
        <w:rPr>
          <w:rFonts w:ascii="仿宋" w:eastAsia="仿宋" w:hAnsi="仿宋"/>
        </w:rPr>
        <w:t>份水稻的</w:t>
      </w:r>
      <w:r w:rsidR="00A20212" w:rsidRPr="00E14275">
        <w:rPr>
          <w:rFonts w:ascii="仿宋" w:eastAsia="仿宋" w:hAnsi="仿宋"/>
        </w:rPr>
        <w:t>遗传相似性分析。结果</w:t>
      </w:r>
      <w:r w:rsidR="00C9007D" w:rsidRPr="00E14275">
        <w:rPr>
          <w:rFonts w:ascii="仿宋" w:eastAsia="仿宋" w:hAnsi="仿宋"/>
        </w:rPr>
        <w:t>（图2.</w:t>
      </w:r>
      <w:r w:rsidR="00C9007D">
        <w:rPr>
          <w:rFonts w:ascii="仿宋" w:eastAsia="仿宋" w:hAnsi="仿宋"/>
        </w:rPr>
        <w:t>A</w:t>
      </w:r>
      <w:r w:rsidR="00C9007D">
        <w:rPr>
          <w:rFonts w:ascii="仿宋" w:eastAsia="仿宋" w:hAnsi="仿宋" w:hint="eastAsia"/>
        </w:rPr>
        <w:t>, B</w:t>
      </w:r>
      <w:r w:rsidR="00C9007D" w:rsidRPr="00E14275">
        <w:rPr>
          <w:rFonts w:ascii="仿宋" w:eastAsia="仿宋" w:hAnsi="仿宋"/>
        </w:rPr>
        <w:t>）</w:t>
      </w:r>
      <w:r w:rsidR="00C9007D">
        <w:rPr>
          <w:rFonts w:ascii="仿宋" w:eastAsia="仿宋" w:hAnsi="仿宋" w:hint="eastAsia"/>
        </w:rPr>
        <w:t>还</w:t>
      </w:r>
      <w:r w:rsidR="00A20212" w:rsidRPr="00E14275">
        <w:rPr>
          <w:rFonts w:ascii="仿宋" w:eastAsia="仿宋" w:hAnsi="仿宋"/>
        </w:rPr>
        <w:t>表明，该</w:t>
      </w:r>
      <w:r w:rsidR="00C9007D">
        <w:rPr>
          <w:rFonts w:ascii="仿宋" w:eastAsia="仿宋" w:hAnsi="仿宋"/>
        </w:rPr>
        <w:t>SNP</w:t>
      </w:r>
      <w:r w:rsidR="00A20212" w:rsidRPr="00E14275">
        <w:rPr>
          <w:rFonts w:ascii="仿宋" w:eastAsia="仿宋" w:hAnsi="仿宋"/>
        </w:rPr>
        <w:t>位点集在籼稻与粳稻两个亚群体中的遗传相似度分布具有较好的一致性，中心分布和尾部特征高度接近，体现出良好的跨亚群平衡性。</w:t>
      </w:r>
    </w:p>
    <w:p w14:paraId="1E391B3D" w14:textId="24E8E1B8" w:rsidR="00123E6B" w:rsidRPr="00E14275" w:rsidRDefault="00A20212" w:rsidP="00975266">
      <w:pPr>
        <w:ind w:firstLine="420"/>
        <w:rPr>
          <w:rFonts w:ascii="仿宋" w:eastAsia="仿宋" w:hAnsi="仿宋"/>
        </w:rPr>
      </w:pPr>
      <w:r w:rsidRPr="00E14275">
        <w:rPr>
          <w:rFonts w:ascii="仿宋" w:eastAsia="仿宋" w:hAnsi="仿宋"/>
        </w:rPr>
        <w:t>因此，基于该</w:t>
      </w:r>
      <w:r w:rsidR="00C9007D">
        <w:rPr>
          <w:rFonts w:ascii="仿宋" w:eastAsia="仿宋" w:hAnsi="仿宋"/>
        </w:rPr>
        <w:t>SNP数据集和两个水稻</w:t>
      </w:r>
      <w:r w:rsidRPr="00E14275">
        <w:rPr>
          <w:rFonts w:ascii="仿宋" w:eastAsia="仿宋" w:hAnsi="仿宋"/>
        </w:rPr>
        <w:t>验证</w:t>
      </w:r>
      <w:r w:rsidR="00C9007D">
        <w:rPr>
          <w:rFonts w:ascii="仿宋" w:eastAsia="仿宋" w:hAnsi="仿宋"/>
        </w:rPr>
        <w:t>群体</w:t>
      </w:r>
      <w:r w:rsidRPr="00E14275">
        <w:rPr>
          <w:rFonts w:ascii="仿宋" w:eastAsia="仿宋" w:hAnsi="仿宋"/>
        </w:rPr>
        <w:t>设定的实质性派生品种判定阈值，能够在籼稻和粳稻这两类主要现代栽培稻中提供较为统一、适用性强的标准依据。</w:t>
      </w:r>
    </w:p>
    <w:p w14:paraId="0C588AF5" w14:textId="045063BD" w:rsidR="00A20212" w:rsidRPr="00E14275" w:rsidRDefault="00430818" w:rsidP="00430818">
      <w:pPr>
        <w:jc w:val="center"/>
        <w:rPr>
          <w:rFonts w:ascii="仿宋" w:eastAsia="仿宋" w:hAnsi="仿宋"/>
        </w:rPr>
      </w:pPr>
      <w:r w:rsidRPr="00E14275">
        <w:rPr>
          <w:rFonts w:ascii="仿宋" w:eastAsia="仿宋" w:hAnsi="仿宋" w:hint="eastAsia"/>
          <w:noProof/>
        </w:rPr>
        <w:lastRenderedPageBreak/>
        <w:drawing>
          <wp:inline distT="0" distB="0" distL="0" distR="0" wp14:anchorId="1B0EF3FF" wp14:editId="1E1497BA">
            <wp:extent cx="4089197" cy="4096089"/>
            <wp:effectExtent l="0" t="0" r="635" b="0"/>
            <wp:docPr id="370869184" name="图片 8" descr="图表, 表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69184" name="图片 8" descr="图表, 表面图&#10;&#10;AI 生成的内容可能不正确。"/>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6277" cy="4103181"/>
                    </a:xfrm>
                    <a:prstGeom prst="rect">
                      <a:avLst/>
                    </a:prstGeom>
                  </pic:spPr>
                </pic:pic>
              </a:graphicData>
            </a:graphic>
          </wp:inline>
        </w:drawing>
      </w:r>
    </w:p>
    <w:p w14:paraId="5896FD34" w14:textId="77777777" w:rsidR="00246B09" w:rsidRPr="00E14275" w:rsidRDefault="00246B09">
      <w:pPr>
        <w:rPr>
          <w:rFonts w:ascii="仿宋" w:eastAsia="仿宋" w:hAnsi="仿宋"/>
        </w:rPr>
      </w:pPr>
    </w:p>
    <w:p w14:paraId="6F2C97D3" w14:textId="1F97D268" w:rsidR="005178E9" w:rsidRPr="00E14275" w:rsidRDefault="005178E9" w:rsidP="00E62948">
      <w:pPr>
        <w:rPr>
          <w:rFonts w:ascii="仿宋" w:eastAsia="仿宋" w:hAnsi="仿宋"/>
        </w:rPr>
      </w:pPr>
      <w:r w:rsidRPr="00E14275">
        <w:rPr>
          <w:rFonts w:ascii="仿宋" w:eastAsia="仿宋" w:hAnsi="仿宋" w:hint="eastAsia"/>
        </w:rPr>
        <w:t>图2.根据筛选的15772个SNP位点，对6044份</w:t>
      </w:r>
      <w:r w:rsidRPr="00E14275">
        <w:rPr>
          <w:rFonts w:ascii="仿宋" w:eastAsia="仿宋" w:hAnsi="仿宋"/>
        </w:rPr>
        <w:t>中国现代栽培水稻</w:t>
      </w:r>
      <w:r w:rsidRPr="00E14275">
        <w:rPr>
          <w:rFonts w:ascii="仿宋" w:eastAsia="仿宋" w:hAnsi="仿宋" w:hint="eastAsia"/>
        </w:rPr>
        <w:t>（A）以及5398份全球水稻（B）进行样本间遗传距离计算（两组数据分别抽取200万对计算结果）。</w:t>
      </w:r>
      <w:r w:rsidR="00A20212" w:rsidRPr="00E14275">
        <w:rPr>
          <w:rFonts w:ascii="仿宋" w:eastAsia="仿宋" w:hAnsi="仿宋" w:hint="eastAsia"/>
        </w:rPr>
        <w:t>虚线分别代表不同亚群样本对的99%分位数值。</w:t>
      </w:r>
      <w:r w:rsidR="00B6021A">
        <w:rPr>
          <w:rFonts w:ascii="仿宋" w:eastAsia="仿宋" w:hAnsi="仿宋" w:hint="eastAsia"/>
        </w:rPr>
        <w:t>图2</w:t>
      </w:r>
      <w:r w:rsidR="00B6021A">
        <w:rPr>
          <w:rFonts w:ascii="仿宋" w:eastAsia="仿宋" w:hAnsi="仿宋"/>
        </w:rPr>
        <w:t>A中</w:t>
      </w:r>
      <w:r w:rsidR="00B6021A">
        <w:rPr>
          <w:rFonts w:ascii="仿宋" w:eastAsia="仿宋" w:hAnsi="仿宋" w:hint="eastAsia"/>
        </w:rPr>
        <w:t>，</w:t>
      </w:r>
      <w:r w:rsidR="00E62948" w:rsidRPr="00B6021A">
        <w:rPr>
          <w:rFonts w:ascii="仿宋" w:eastAsia="仿宋" w:hAnsi="仿宋" w:hint="eastAsia"/>
        </w:rPr>
        <w:t>籼稻99</w:t>
      </w:r>
      <w:r w:rsidR="00E62948">
        <w:rPr>
          <w:rFonts w:ascii="仿宋" w:eastAsia="仿宋" w:hAnsi="仿宋" w:hint="eastAsia"/>
        </w:rPr>
        <w:t>%</w:t>
      </w:r>
      <w:r w:rsidR="00E62948" w:rsidRPr="00B6021A">
        <w:rPr>
          <w:rFonts w:ascii="仿宋" w:eastAsia="仿宋" w:hAnsi="仿宋" w:hint="eastAsia"/>
        </w:rPr>
        <w:t>分位数</w:t>
      </w:r>
      <w:bookmarkStart w:id="8" w:name="_Hlk206771925"/>
      <w:r w:rsidR="00E62948" w:rsidRPr="00B6021A">
        <w:rPr>
          <w:rFonts w:ascii="仿宋" w:eastAsia="仿宋" w:hAnsi="仿宋" w:hint="eastAsia"/>
        </w:rPr>
        <w:t>样本对</w:t>
      </w:r>
      <w:bookmarkEnd w:id="8"/>
      <w:r w:rsidR="00E62948" w:rsidRPr="00E62948">
        <w:rPr>
          <w:rFonts w:ascii="仿宋" w:eastAsia="仿宋" w:hAnsi="仿宋" w:hint="eastAsia"/>
        </w:rPr>
        <w:t>对应的遗传相似度为</w:t>
      </w:r>
      <w:r w:rsidR="00E62948" w:rsidRPr="00B6021A">
        <w:rPr>
          <w:rFonts w:ascii="仿宋" w:eastAsia="仿宋" w:hAnsi="仿宋" w:hint="eastAsia"/>
        </w:rPr>
        <w:t>90.3%</w:t>
      </w:r>
      <w:r w:rsidR="00EB4ACF" w:rsidRPr="00EB4ACF">
        <w:rPr>
          <w:rFonts w:ascii="仿宋" w:eastAsia="仿宋" w:hAnsi="仿宋" w:hint="eastAsia"/>
        </w:rPr>
        <w:t>（</w:t>
      </w:r>
      <w:r w:rsidR="00EB4ACF">
        <w:rPr>
          <w:rFonts w:ascii="仿宋" w:eastAsia="仿宋" w:hAnsi="仿宋" w:hint="eastAsia"/>
        </w:rPr>
        <w:t>红</w:t>
      </w:r>
      <w:r w:rsidR="00EB4ACF" w:rsidRPr="00EB4ACF">
        <w:rPr>
          <w:rFonts w:ascii="仿宋" w:eastAsia="仿宋" w:hAnsi="仿宋" w:hint="eastAsia"/>
        </w:rPr>
        <w:t>色虚线）</w:t>
      </w:r>
      <w:r w:rsidR="00E62948">
        <w:rPr>
          <w:rFonts w:ascii="仿宋" w:eastAsia="仿宋" w:hAnsi="仿宋" w:hint="eastAsia"/>
        </w:rPr>
        <w:t>、</w:t>
      </w:r>
      <w:r w:rsidR="00B6021A" w:rsidRPr="00B6021A">
        <w:rPr>
          <w:rFonts w:ascii="仿宋" w:eastAsia="仿宋" w:hAnsi="仿宋" w:hint="eastAsia"/>
        </w:rPr>
        <w:t>粳稻99</w:t>
      </w:r>
      <w:r w:rsidR="00E62948">
        <w:rPr>
          <w:rFonts w:ascii="仿宋" w:eastAsia="仿宋" w:hAnsi="仿宋" w:hint="eastAsia"/>
        </w:rPr>
        <w:t>%</w:t>
      </w:r>
      <w:r w:rsidR="00B6021A" w:rsidRPr="00B6021A">
        <w:rPr>
          <w:rFonts w:ascii="仿宋" w:eastAsia="仿宋" w:hAnsi="仿宋" w:hint="eastAsia"/>
        </w:rPr>
        <w:t>分位数</w:t>
      </w:r>
      <w:bookmarkStart w:id="9" w:name="_Hlk199335014"/>
      <w:r w:rsidR="00EB4ACF" w:rsidRPr="00EB4ACF">
        <w:rPr>
          <w:rFonts w:ascii="仿宋" w:eastAsia="仿宋" w:hAnsi="仿宋" w:hint="eastAsia"/>
        </w:rPr>
        <w:t>样本对</w:t>
      </w:r>
      <w:r w:rsidR="00B6021A">
        <w:rPr>
          <w:rFonts w:ascii="仿宋" w:eastAsia="仿宋" w:hAnsi="仿宋" w:hint="eastAsia"/>
        </w:rPr>
        <w:t>对应的遗传相似度为</w:t>
      </w:r>
      <w:bookmarkEnd w:id="9"/>
      <w:r w:rsidR="00B6021A" w:rsidRPr="00B6021A">
        <w:rPr>
          <w:rFonts w:ascii="仿宋" w:eastAsia="仿宋" w:hAnsi="仿宋" w:hint="eastAsia"/>
        </w:rPr>
        <w:t>91.1%</w:t>
      </w:r>
      <w:bookmarkStart w:id="10" w:name="_Hlk206771998"/>
      <w:r w:rsidR="00B6021A">
        <w:rPr>
          <w:rFonts w:ascii="仿宋" w:eastAsia="仿宋" w:hAnsi="仿宋" w:hint="eastAsia"/>
        </w:rPr>
        <w:t>（</w:t>
      </w:r>
      <w:r w:rsidR="00E62948">
        <w:rPr>
          <w:rFonts w:ascii="仿宋" w:eastAsia="仿宋" w:hAnsi="仿宋" w:hint="eastAsia"/>
        </w:rPr>
        <w:t>绿色虚线）；</w:t>
      </w:r>
      <w:bookmarkEnd w:id="10"/>
      <w:r w:rsidR="00E62948" w:rsidRPr="00E62948">
        <w:rPr>
          <w:rFonts w:ascii="仿宋" w:eastAsia="仿宋" w:hAnsi="仿宋" w:hint="eastAsia"/>
        </w:rPr>
        <w:t>图2</w:t>
      </w:r>
      <w:r w:rsidR="00E62948">
        <w:rPr>
          <w:rFonts w:ascii="仿宋" w:eastAsia="仿宋" w:hAnsi="仿宋" w:hint="eastAsia"/>
        </w:rPr>
        <w:t>B</w:t>
      </w:r>
      <w:r w:rsidR="00E62948" w:rsidRPr="00E62948">
        <w:rPr>
          <w:rFonts w:ascii="仿宋" w:eastAsia="仿宋" w:hAnsi="仿宋" w:hint="eastAsia"/>
        </w:rPr>
        <w:t>中，</w:t>
      </w:r>
      <w:r w:rsidR="00C67C05" w:rsidRPr="00E62948">
        <w:rPr>
          <w:rFonts w:ascii="仿宋" w:eastAsia="仿宋" w:hAnsi="仿宋" w:hint="eastAsia"/>
        </w:rPr>
        <w:t>籼稻99%分位数样本对对应的遗传相似度为</w:t>
      </w:r>
      <w:r w:rsidR="00C67C05">
        <w:rPr>
          <w:rFonts w:ascii="仿宋" w:eastAsia="仿宋" w:hAnsi="仿宋" w:hint="eastAsia"/>
        </w:rPr>
        <w:t>88.0</w:t>
      </w:r>
      <w:r w:rsidR="00C67C05" w:rsidRPr="00E62948">
        <w:rPr>
          <w:rFonts w:ascii="仿宋" w:eastAsia="仿宋" w:hAnsi="仿宋" w:hint="eastAsia"/>
        </w:rPr>
        <w:t>%；</w:t>
      </w:r>
      <w:r w:rsidR="00E62948" w:rsidRPr="00E62948">
        <w:rPr>
          <w:rFonts w:ascii="仿宋" w:eastAsia="仿宋" w:hAnsi="仿宋" w:hint="eastAsia"/>
        </w:rPr>
        <w:t>粳稻99%分位数</w:t>
      </w:r>
      <w:r w:rsidR="00C67C05" w:rsidRPr="00C67C05">
        <w:rPr>
          <w:rFonts w:ascii="仿宋" w:eastAsia="仿宋" w:hAnsi="仿宋" w:hint="eastAsia"/>
        </w:rPr>
        <w:t>样本对</w:t>
      </w:r>
      <w:r w:rsidR="00E62948" w:rsidRPr="00E62948">
        <w:rPr>
          <w:rFonts w:ascii="仿宋" w:eastAsia="仿宋" w:hAnsi="仿宋" w:hint="eastAsia"/>
        </w:rPr>
        <w:t>对应的遗传相似度为9</w:t>
      </w:r>
      <w:r w:rsidR="00C67C05">
        <w:rPr>
          <w:rFonts w:ascii="仿宋" w:eastAsia="仿宋" w:hAnsi="仿宋" w:hint="eastAsia"/>
        </w:rPr>
        <w:t>0</w:t>
      </w:r>
      <w:r w:rsidR="00E62948" w:rsidRPr="00E62948">
        <w:rPr>
          <w:rFonts w:ascii="仿宋" w:eastAsia="仿宋" w:hAnsi="仿宋" w:hint="eastAsia"/>
        </w:rPr>
        <w:t>.</w:t>
      </w:r>
      <w:r w:rsidR="00C67C05">
        <w:rPr>
          <w:rFonts w:ascii="仿宋" w:eastAsia="仿宋" w:hAnsi="仿宋" w:hint="eastAsia"/>
        </w:rPr>
        <w:t>2</w:t>
      </w:r>
      <w:r w:rsidR="00E62948" w:rsidRPr="00E62948">
        <w:rPr>
          <w:rFonts w:ascii="仿宋" w:eastAsia="仿宋" w:hAnsi="仿宋" w:hint="eastAsia"/>
        </w:rPr>
        <w:t>%</w:t>
      </w:r>
      <w:r w:rsidR="00C67C05">
        <w:rPr>
          <w:rFonts w:ascii="仿宋" w:eastAsia="仿宋" w:hAnsi="仿宋" w:hint="eastAsia"/>
        </w:rPr>
        <w:t>。</w:t>
      </w:r>
    </w:p>
    <w:p w14:paraId="4C1113B5" w14:textId="77777777" w:rsidR="00246B09" w:rsidRPr="00EB4ACF" w:rsidRDefault="00246B09">
      <w:pPr>
        <w:rPr>
          <w:rFonts w:ascii="仿宋" w:eastAsia="仿宋" w:hAnsi="仿宋"/>
        </w:rPr>
      </w:pPr>
    </w:p>
    <w:p w14:paraId="0106EF1A" w14:textId="6E773133" w:rsidR="00963B15" w:rsidRPr="00975266" w:rsidRDefault="008719F0">
      <w:pPr>
        <w:rPr>
          <w:rFonts w:ascii="仿宋" w:eastAsia="仿宋" w:hAnsi="仿宋"/>
          <w:b/>
          <w:bCs/>
        </w:rPr>
      </w:pPr>
      <w:r w:rsidRPr="00975266">
        <w:rPr>
          <w:rFonts w:ascii="仿宋" w:eastAsia="仿宋" w:hAnsi="仿宋" w:hint="eastAsia"/>
          <w:b/>
          <w:bCs/>
        </w:rPr>
        <w:t>（3）</w:t>
      </w:r>
      <w:r w:rsidR="00963B15" w:rsidRPr="00975266">
        <w:rPr>
          <w:rFonts w:ascii="仿宋" w:eastAsia="仿宋" w:hAnsi="仿宋" w:hint="eastAsia"/>
          <w:b/>
          <w:bCs/>
        </w:rPr>
        <w:t>选择</w:t>
      </w:r>
      <w:r w:rsidR="007C4B44" w:rsidRPr="00975266">
        <w:rPr>
          <w:rFonts w:ascii="仿宋" w:eastAsia="仿宋" w:hAnsi="仿宋" w:hint="eastAsia"/>
          <w:b/>
          <w:bCs/>
        </w:rPr>
        <w:t>的</w:t>
      </w:r>
      <w:r w:rsidR="00963B15" w:rsidRPr="00975266">
        <w:rPr>
          <w:rFonts w:ascii="仿宋" w:eastAsia="仿宋" w:hAnsi="仿宋" w:hint="eastAsia"/>
          <w:b/>
          <w:bCs/>
        </w:rPr>
        <w:t>位点在群体内遗传参数特征</w:t>
      </w:r>
    </w:p>
    <w:p w14:paraId="46407663" w14:textId="1779CFD8" w:rsidR="00AD5FC2" w:rsidRPr="00E14275" w:rsidRDefault="007904C2" w:rsidP="008A3A36">
      <w:pPr>
        <w:ind w:firstLine="420"/>
        <w:rPr>
          <w:rFonts w:ascii="仿宋" w:eastAsia="仿宋" w:hAnsi="仿宋"/>
        </w:rPr>
      </w:pPr>
      <w:r>
        <w:rPr>
          <w:rFonts w:ascii="仿宋" w:eastAsia="仿宋" w:hAnsi="仿宋"/>
        </w:rPr>
        <w:t>我们分析了</w:t>
      </w:r>
      <w:r w:rsidRPr="007904C2">
        <w:rPr>
          <w:rFonts w:ascii="仿宋" w:eastAsia="仿宋" w:hAnsi="仿宋" w:hint="eastAsia"/>
        </w:rPr>
        <w:t>15772个</w:t>
      </w:r>
      <w:r w:rsidR="00F1080F" w:rsidRPr="00E14275">
        <w:rPr>
          <w:rFonts w:ascii="仿宋" w:eastAsia="仿宋" w:hAnsi="仿宋"/>
        </w:rPr>
        <w:t>SNP</w:t>
      </w:r>
      <w:r>
        <w:rPr>
          <w:rFonts w:ascii="仿宋" w:eastAsia="仿宋" w:hAnsi="仿宋" w:hint="eastAsia"/>
        </w:rPr>
        <w:t>集</w:t>
      </w:r>
      <w:r w:rsidR="00F1080F" w:rsidRPr="00E14275">
        <w:rPr>
          <w:rFonts w:ascii="仿宋" w:eastAsia="仿宋" w:hAnsi="仿宋"/>
        </w:rPr>
        <w:t>在6044份代表性水稻品种数据集中的缺失率</w:t>
      </w:r>
      <w:r w:rsidR="008A3A36">
        <w:rPr>
          <w:rFonts w:ascii="仿宋" w:eastAsia="仿宋" w:hAnsi="仿宋" w:hint="eastAsia"/>
        </w:rPr>
        <w:t>及频率分布</w:t>
      </w:r>
      <w:r>
        <w:rPr>
          <w:rFonts w:ascii="仿宋" w:eastAsia="仿宋" w:hAnsi="仿宋" w:hint="eastAsia"/>
        </w:rPr>
        <w:t>（</w:t>
      </w:r>
      <w:r>
        <w:rPr>
          <w:rFonts w:ascii="仿宋" w:eastAsia="仿宋" w:hAnsi="仿宋"/>
        </w:rPr>
        <w:t>图</w:t>
      </w:r>
      <w:r>
        <w:rPr>
          <w:rFonts w:ascii="仿宋" w:eastAsia="仿宋" w:hAnsi="仿宋" w:hint="eastAsia"/>
        </w:rPr>
        <w:t>3.</w:t>
      </w:r>
      <w:r>
        <w:rPr>
          <w:rFonts w:ascii="仿宋" w:eastAsia="仿宋" w:hAnsi="仿宋"/>
        </w:rPr>
        <w:t>A</w:t>
      </w:r>
      <w:r w:rsidR="008A3A36">
        <w:rPr>
          <w:rFonts w:ascii="仿宋" w:eastAsia="仿宋" w:hAnsi="仿宋" w:hint="eastAsia"/>
        </w:rPr>
        <w:t>、图3.B</w:t>
      </w:r>
      <w:r>
        <w:rPr>
          <w:rFonts w:ascii="仿宋" w:eastAsia="仿宋" w:hAnsi="仿宋" w:hint="eastAsia"/>
        </w:rPr>
        <w:t>），结果表明，缺失位点在群体中的</w:t>
      </w:r>
      <w:r w:rsidR="00F1080F" w:rsidRPr="00E14275">
        <w:rPr>
          <w:rFonts w:ascii="仿宋" w:eastAsia="仿宋" w:hAnsi="仿宋"/>
        </w:rPr>
        <w:t>分布与筛选标准保持一致，整体缺失水平较低，表明所选位点在该背景群体中具有良好的数据完整性和适用性。</w:t>
      </w:r>
    </w:p>
    <w:p w14:paraId="664A408B" w14:textId="36C95A03" w:rsidR="00F1080F" w:rsidRDefault="00430818" w:rsidP="00430818">
      <w:pPr>
        <w:jc w:val="center"/>
        <w:rPr>
          <w:rFonts w:ascii="仿宋" w:eastAsia="仿宋" w:hAnsi="仿宋"/>
        </w:rPr>
      </w:pPr>
      <w:r w:rsidRPr="00E14275">
        <w:rPr>
          <w:rFonts w:ascii="仿宋" w:eastAsia="仿宋" w:hAnsi="仿宋"/>
          <w:noProof/>
        </w:rPr>
        <w:drawing>
          <wp:inline distT="0" distB="0" distL="0" distR="0" wp14:anchorId="658EF7A9" wp14:editId="5835EA60">
            <wp:extent cx="4526229" cy="1244991"/>
            <wp:effectExtent l="0" t="0" r="0" b="0"/>
            <wp:docPr id="1342353024" name="图片 9" descr="图表, 条形图, 直方图, 瀑布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3024" name="图片 9" descr="图表, 条形图, 直方图, 瀑布图&#10;&#10;AI 生成的内容可能不正确。"/>
                    <pic:cNvPicPr/>
                  </pic:nvPicPr>
                  <pic:blipFill rotWithShape="1">
                    <a:blip r:embed="rId10" cstate="print">
                      <a:extLst>
                        <a:ext uri="{28A0092B-C50C-407E-A947-70E740481C1C}">
                          <a14:useLocalDpi xmlns:a14="http://schemas.microsoft.com/office/drawing/2010/main" val="0"/>
                        </a:ext>
                      </a:extLst>
                    </a:blip>
                    <a:srcRect b="48889"/>
                    <a:stretch/>
                  </pic:blipFill>
                  <pic:spPr bwMode="auto">
                    <a:xfrm>
                      <a:off x="0" y="0"/>
                      <a:ext cx="4573460" cy="1257982"/>
                    </a:xfrm>
                    <a:prstGeom prst="rect">
                      <a:avLst/>
                    </a:prstGeom>
                    <a:ln>
                      <a:noFill/>
                    </a:ln>
                    <a:extLst>
                      <a:ext uri="{53640926-AAD7-44D8-BBD7-CCE9431645EC}">
                        <a14:shadowObscured xmlns:a14="http://schemas.microsoft.com/office/drawing/2010/main"/>
                      </a:ext>
                    </a:extLst>
                  </pic:spPr>
                </pic:pic>
              </a:graphicData>
            </a:graphic>
          </wp:inline>
        </w:drawing>
      </w:r>
    </w:p>
    <w:p w14:paraId="54322CA0" w14:textId="3727441F" w:rsidR="008A664C" w:rsidRPr="00E14275" w:rsidRDefault="008A664C" w:rsidP="00430818">
      <w:pPr>
        <w:jc w:val="center"/>
        <w:rPr>
          <w:rFonts w:ascii="仿宋" w:eastAsia="仿宋" w:hAnsi="仿宋"/>
        </w:rPr>
      </w:pPr>
      <w:r>
        <w:rPr>
          <w:rFonts w:ascii="仿宋" w:eastAsia="仿宋" w:hAnsi="仿宋" w:hint="eastAsia"/>
        </w:rPr>
        <w:t xml:space="preserve">图3. </w:t>
      </w:r>
      <w:r w:rsidR="008A3A36" w:rsidRPr="008A3A36">
        <w:rPr>
          <w:rFonts w:ascii="仿宋" w:eastAsia="仿宋" w:hAnsi="仿宋"/>
        </w:rPr>
        <w:t>15772个SNP集在6044份代表性水稻品种数据集中的缺失率及频率分布</w:t>
      </w:r>
      <w:r w:rsidR="008A3A36">
        <w:rPr>
          <w:rFonts w:ascii="仿宋" w:eastAsia="仿宋" w:hAnsi="仿宋" w:hint="eastAsia"/>
        </w:rPr>
        <w:t>。</w:t>
      </w:r>
    </w:p>
    <w:p w14:paraId="5979769C" w14:textId="77777777" w:rsidR="00F1080F" w:rsidRPr="00E14275" w:rsidRDefault="00F1080F">
      <w:pPr>
        <w:rPr>
          <w:rFonts w:ascii="仿宋" w:eastAsia="仿宋" w:hAnsi="仿宋"/>
        </w:rPr>
      </w:pPr>
    </w:p>
    <w:p w14:paraId="31E57DBC" w14:textId="408AD705" w:rsidR="00AD5FC2" w:rsidRPr="00975266" w:rsidRDefault="00EC2E60">
      <w:pPr>
        <w:rPr>
          <w:rFonts w:ascii="仿宋" w:eastAsia="仿宋" w:hAnsi="仿宋"/>
          <w:b/>
          <w:bCs/>
        </w:rPr>
      </w:pPr>
      <w:r w:rsidRPr="00975266">
        <w:rPr>
          <w:rFonts w:ascii="仿宋" w:eastAsia="仿宋" w:hAnsi="仿宋" w:hint="eastAsia"/>
          <w:b/>
          <w:bCs/>
        </w:rPr>
        <w:t>（4）</w:t>
      </w:r>
      <w:r w:rsidR="00F1080F" w:rsidRPr="00975266">
        <w:rPr>
          <w:rFonts w:ascii="仿宋" w:eastAsia="仿宋" w:hAnsi="仿宋" w:hint="eastAsia"/>
          <w:b/>
          <w:bCs/>
        </w:rPr>
        <w:t>缺失位点比例与区分稳定性</w:t>
      </w:r>
    </w:p>
    <w:p w14:paraId="78DD5B2E" w14:textId="36F9D83F" w:rsidR="003F14E2" w:rsidRPr="00E14275" w:rsidRDefault="003F14E2" w:rsidP="00975266">
      <w:pPr>
        <w:ind w:firstLine="420"/>
        <w:rPr>
          <w:rFonts w:ascii="仿宋" w:eastAsia="仿宋" w:hAnsi="仿宋"/>
        </w:rPr>
      </w:pPr>
      <w:r w:rsidRPr="00E14275">
        <w:rPr>
          <w:rFonts w:ascii="仿宋" w:eastAsia="仿宋" w:hAnsi="仿宋"/>
        </w:rPr>
        <w:t>由于水稻样本间</w:t>
      </w:r>
      <w:r w:rsidR="007904C2">
        <w:rPr>
          <w:rFonts w:ascii="仿宋" w:eastAsia="仿宋" w:hAnsi="仿宋"/>
        </w:rPr>
        <w:t>本身存在</w:t>
      </w:r>
      <w:r w:rsidRPr="00E14275">
        <w:rPr>
          <w:rFonts w:ascii="仿宋" w:eastAsia="仿宋" w:hAnsi="仿宋"/>
        </w:rPr>
        <w:t>的基因组差异性，不同样本在全基因组SNP位点上的有效覆盖存在一定波动，导致可用于计算的有效SNP位点数量存在差异。为评估所选SNP位点在不同缺失水平下对样本区分能力的影响，我们</w:t>
      </w:r>
      <w:r w:rsidR="00C67C05">
        <w:rPr>
          <w:rFonts w:ascii="仿宋" w:eastAsia="仿宋" w:hAnsi="仿宋" w:hint="eastAsia"/>
        </w:rPr>
        <w:t>对</w:t>
      </w:r>
      <w:r w:rsidR="007904C2" w:rsidRPr="007904C2">
        <w:rPr>
          <w:rFonts w:ascii="仿宋" w:eastAsia="仿宋" w:hAnsi="仿宋" w:hint="eastAsia"/>
        </w:rPr>
        <w:t>15772个SNP位点</w:t>
      </w:r>
      <w:r w:rsidR="007904C2">
        <w:rPr>
          <w:rFonts w:ascii="仿宋" w:eastAsia="仿宋" w:hAnsi="仿宋" w:hint="eastAsia"/>
        </w:rPr>
        <w:t>集</w:t>
      </w:r>
      <w:r w:rsidRPr="00E14275">
        <w:rPr>
          <w:rFonts w:ascii="仿宋" w:eastAsia="仿宋" w:hAnsi="仿宋"/>
        </w:rPr>
        <w:t>设计了随机抽样模拟实验</w:t>
      </w:r>
      <w:r w:rsidR="007904C2">
        <w:rPr>
          <w:rFonts w:ascii="仿宋" w:eastAsia="仿宋" w:hAnsi="仿宋" w:hint="eastAsia"/>
        </w:rPr>
        <w:t>，</w:t>
      </w:r>
      <w:r w:rsidRPr="00E14275">
        <w:rPr>
          <w:rFonts w:ascii="仿宋" w:eastAsia="仿宋" w:hAnsi="仿宋"/>
        </w:rPr>
        <w:t>分别在保留90%、80%、70%、60%的SNP位点情况下进行20次重复抽样，每次随机抽取200万对样本，计算其遗传相似度分布。结果显示，即使在仅保留60%有效位点的情形下，样本间的区分能力仍未出现明显波动，整体GS分布稳定（图4）。</w:t>
      </w:r>
    </w:p>
    <w:p w14:paraId="307EAF7B" w14:textId="512F4672" w:rsidR="00430818" w:rsidRDefault="00430818" w:rsidP="00430818">
      <w:pPr>
        <w:jc w:val="center"/>
        <w:rPr>
          <w:rFonts w:ascii="仿宋" w:eastAsia="仿宋" w:hAnsi="仿宋"/>
        </w:rPr>
      </w:pPr>
      <w:r w:rsidRPr="00E14275">
        <w:rPr>
          <w:rFonts w:ascii="仿宋" w:eastAsia="仿宋" w:hAnsi="仿宋" w:hint="eastAsia"/>
          <w:noProof/>
        </w:rPr>
        <w:drawing>
          <wp:inline distT="0" distB="0" distL="0" distR="0" wp14:anchorId="1DAE619A" wp14:editId="13B3DFF8">
            <wp:extent cx="4048125" cy="3137647"/>
            <wp:effectExtent l="0" t="0" r="3175" b="0"/>
            <wp:docPr id="2084587092" name="图片 10"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87092" name="图片 10" descr="图表&#10;&#10;AI 生成的内容可能不正确。"/>
                    <pic:cNvPicPr/>
                  </pic:nvPicPr>
                  <pic:blipFill rotWithShape="1">
                    <a:blip r:embed="rId11" cstate="print">
                      <a:extLst>
                        <a:ext uri="{28A0092B-C50C-407E-A947-70E740481C1C}">
                          <a14:useLocalDpi xmlns:a14="http://schemas.microsoft.com/office/drawing/2010/main" val="0"/>
                        </a:ext>
                      </a:extLst>
                    </a:blip>
                    <a:srcRect b="5520"/>
                    <a:stretch>
                      <a:fillRect/>
                    </a:stretch>
                  </pic:blipFill>
                  <pic:spPr bwMode="auto">
                    <a:xfrm>
                      <a:off x="0" y="0"/>
                      <a:ext cx="4070915" cy="3155311"/>
                    </a:xfrm>
                    <a:prstGeom prst="rect">
                      <a:avLst/>
                    </a:prstGeom>
                    <a:ln>
                      <a:noFill/>
                    </a:ln>
                    <a:extLst>
                      <a:ext uri="{53640926-AAD7-44D8-BBD7-CCE9431645EC}">
                        <a14:shadowObscured xmlns:a14="http://schemas.microsoft.com/office/drawing/2010/main"/>
                      </a:ext>
                    </a:extLst>
                  </pic:spPr>
                </pic:pic>
              </a:graphicData>
            </a:graphic>
          </wp:inline>
        </w:drawing>
      </w:r>
    </w:p>
    <w:p w14:paraId="77117E0F" w14:textId="0F17CC16" w:rsidR="008A664C" w:rsidRDefault="008A664C" w:rsidP="00430818">
      <w:pPr>
        <w:jc w:val="center"/>
        <w:rPr>
          <w:rFonts w:ascii="仿宋" w:eastAsia="仿宋" w:hAnsi="仿宋"/>
        </w:rPr>
      </w:pPr>
      <w:r>
        <w:rPr>
          <w:rFonts w:ascii="仿宋" w:eastAsia="仿宋" w:hAnsi="仿宋" w:hint="eastAsia"/>
        </w:rPr>
        <w:t xml:space="preserve">图4. </w:t>
      </w:r>
      <w:r w:rsidR="008A3A36">
        <w:rPr>
          <w:rFonts w:ascii="仿宋" w:eastAsia="仿宋" w:hAnsi="仿宋" w:hint="eastAsia"/>
        </w:rPr>
        <w:t>不同抽样组样本间遗传相似性分布。</w:t>
      </w:r>
    </w:p>
    <w:p w14:paraId="10EA26B0" w14:textId="77777777" w:rsidR="008A3A36" w:rsidRPr="00E14275" w:rsidRDefault="008A3A36" w:rsidP="00430818">
      <w:pPr>
        <w:jc w:val="center"/>
        <w:rPr>
          <w:rFonts w:ascii="仿宋" w:eastAsia="仿宋" w:hAnsi="仿宋"/>
        </w:rPr>
      </w:pPr>
    </w:p>
    <w:p w14:paraId="1F1E5653" w14:textId="1EFD3219" w:rsidR="002C3843" w:rsidRDefault="003F14E2" w:rsidP="00975266">
      <w:pPr>
        <w:ind w:firstLine="420"/>
        <w:rPr>
          <w:rFonts w:ascii="仿宋" w:eastAsia="仿宋" w:hAnsi="仿宋"/>
        </w:rPr>
      </w:pPr>
      <w:r w:rsidRPr="00E14275">
        <w:rPr>
          <w:rFonts w:ascii="仿宋" w:eastAsia="仿宋" w:hAnsi="仿宋"/>
        </w:rPr>
        <w:t>进一步地，我们在GS值分别落于88%–92%、92%–96%、96%–100%三个区间内</w:t>
      </w:r>
      <w:r w:rsidR="007904C2">
        <w:rPr>
          <w:rFonts w:ascii="仿宋" w:eastAsia="仿宋" w:hAnsi="仿宋"/>
        </w:rPr>
        <w:t>的样品对</w:t>
      </w:r>
      <w:r w:rsidR="002C3843">
        <w:rPr>
          <w:rFonts w:ascii="仿宋" w:eastAsia="仿宋" w:hAnsi="仿宋"/>
        </w:rPr>
        <w:t>中</w:t>
      </w:r>
      <w:r w:rsidRPr="00E14275">
        <w:rPr>
          <w:rFonts w:ascii="仿宋" w:eastAsia="仿宋" w:hAnsi="仿宋"/>
        </w:rPr>
        <w:t>，各随机抽取20对样本进行分析，在四种不同位点保留比例（90%、80%、70%、60%）下分别计算样本对的GS值。结果表明，GS值在各保留水平下保持一致性，未出现显著变化（图5）。</w:t>
      </w:r>
    </w:p>
    <w:p w14:paraId="5EFFE440" w14:textId="0DE4D725" w:rsidR="003F14E2" w:rsidRPr="00E14275" w:rsidRDefault="003F14E2" w:rsidP="00975266">
      <w:pPr>
        <w:ind w:firstLine="420"/>
        <w:rPr>
          <w:rFonts w:ascii="仿宋" w:eastAsia="仿宋" w:hAnsi="仿宋"/>
        </w:rPr>
      </w:pPr>
      <w:r w:rsidRPr="00E14275">
        <w:rPr>
          <w:rFonts w:ascii="仿宋" w:eastAsia="仿宋" w:hAnsi="仿宋"/>
        </w:rPr>
        <w:t>上述结果表明，本标准所选SNP位点具有良好的冗余性和稳定性，即使存在一定程度的位点缺失</w:t>
      </w:r>
      <w:r w:rsidR="00334E2B" w:rsidRPr="00E14275">
        <w:rPr>
          <w:rFonts w:ascii="仿宋" w:eastAsia="仿宋" w:hAnsi="仿宋" w:hint="eastAsia"/>
        </w:rPr>
        <w:t>（</w:t>
      </w:r>
      <w:r w:rsidR="00334E2B" w:rsidRPr="00E14275">
        <w:rPr>
          <w:rFonts w:ascii="仿宋" w:eastAsia="仿宋" w:hAnsi="仿宋"/>
        </w:rPr>
        <w:t>≤</w:t>
      </w:r>
      <w:r w:rsidR="00334E2B" w:rsidRPr="00E14275">
        <w:rPr>
          <w:rFonts w:ascii="仿宋" w:eastAsia="仿宋" w:hAnsi="仿宋" w:hint="eastAsia"/>
        </w:rPr>
        <w:t>4</w:t>
      </w:r>
      <w:r w:rsidR="00334E2B" w:rsidRPr="00E14275">
        <w:rPr>
          <w:rFonts w:ascii="仿宋" w:eastAsia="仿宋" w:hAnsi="仿宋"/>
        </w:rPr>
        <w:t>0%</w:t>
      </w:r>
      <w:r w:rsidR="00334E2B" w:rsidRPr="00E14275">
        <w:rPr>
          <w:rFonts w:ascii="仿宋" w:eastAsia="仿宋" w:hAnsi="仿宋" w:hint="eastAsia"/>
        </w:rPr>
        <w:t>，即至少剩余9463个SNP位点）</w:t>
      </w:r>
      <w:r w:rsidRPr="00E14275">
        <w:rPr>
          <w:rFonts w:ascii="仿宋" w:eastAsia="仿宋" w:hAnsi="仿宋"/>
        </w:rPr>
        <w:t>，也不影响品种间遗传关系的准确判断。</w:t>
      </w:r>
    </w:p>
    <w:p w14:paraId="2F946C38" w14:textId="03456290" w:rsidR="00F1080F" w:rsidRPr="00E14275" w:rsidRDefault="00430818" w:rsidP="00430818">
      <w:pPr>
        <w:jc w:val="center"/>
        <w:rPr>
          <w:rFonts w:ascii="仿宋" w:eastAsia="仿宋" w:hAnsi="仿宋"/>
        </w:rPr>
      </w:pPr>
      <w:r w:rsidRPr="00E14275">
        <w:rPr>
          <w:rFonts w:ascii="仿宋" w:eastAsia="仿宋" w:hAnsi="仿宋" w:hint="eastAsia"/>
          <w:noProof/>
        </w:rPr>
        <w:lastRenderedPageBreak/>
        <w:drawing>
          <wp:inline distT="0" distB="0" distL="0" distR="0" wp14:anchorId="17E2EE31" wp14:editId="46485BEE">
            <wp:extent cx="4474815" cy="2150669"/>
            <wp:effectExtent l="0" t="0" r="0" b="0"/>
            <wp:docPr id="1928351141" name="图片 1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51141" name="图片 11" descr="图表, 折线图&#10;&#10;AI 生成的内容可能不正确。"/>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7274" cy="2180688"/>
                    </a:xfrm>
                    <a:prstGeom prst="rect">
                      <a:avLst/>
                    </a:prstGeom>
                  </pic:spPr>
                </pic:pic>
              </a:graphicData>
            </a:graphic>
          </wp:inline>
        </w:drawing>
      </w:r>
    </w:p>
    <w:p w14:paraId="29BF6B54" w14:textId="7277B535" w:rsidR="00C003A5" w:rsidRDefault="00C003A5" w:rsidP="00C003A5">
      <w:pPr>
        <w:jc w:val="center"/>
        <w:rPr>
          <w:rFonts w:ascii="仿宋" w:eastAsia="仿宋" w:hAnsi="仿宋"/>
        </w:rPr>
      </w:pPr>
      <w:r w:rsidRPr="00E14275">
        <w:rPr>
          <w:rFonts w:ascii="仿宋" w:eastAsia="仿宋" w:hAnsi="仿宋" w:hint="eastAsia"/>
        </w:rPr>
        <w:t>图</w:t>
      </w:r>
      <w:r w:rsidR="008A664C">
        <w:rPr>
          <w:rFonts w:ascii="仿宋" w:eastAsia="仿宋" w:hAnsi="仿宋" w:hint="eastAsia"/>
        </w:rPr>
        <w:t xml:space="preserve">5. </w:t>
      </w:r>
      <w:r w:rsidRPr="00E14275">
        <w:rPr>
          <w:rFonts w:ascii="仿宋" w:eastAsia="仿宋" w:hAnsi="仿宋" w:hint="eastAsia"/>
        </w:rPr>
        <w:t>不同抽样比例下，GS值波动情况</w:t>
      </w:r>
    </w:p>
    <w:p w14:paraId="78F78F5E" w14:textId="77777777" w:rsidR="008A3A36" w:rsidRPr="00E14275" w:rsidRDefault="008A3A36" w:rsidP="00C003A5">
      <w:pPr>
        <w:jc w:val="center"/>
        <w:rPr>
          <w:rFonts w:ascii="仿宋" w:eastAsia="仿宋" w:hAnsi="仿宋"/>
        </w:rPr>
      </w:pPr>
    </w:p>
    <w:p w14:paraId="6C4890E7" w14:textId="3BA40F56" w:rsidR="0014682A" w:rsidRPr="00975266" w:rsidRDefault="0014682A">
      <w:pPr>
        <w:rPr>
          <w:rFonts w:ascii="仿宋" w:eastAsia="仿宋" w:hAnsi="仿宋"/>
          <w:b/>
          <w:bCs/>
        </w:rPr>
      </w:pPr>
      <w:r w:rsidRPr="00975266">
        <w:rPr>
          <w:rFonts w:ascii="仿宋" w:eastAsia="仿宋" w:hAnsi="仿宋"/>
          <w:b/>
          <w:bCs/>
        </w:rPr>
        <w:t xml:space="preserve">(5) </w:t>
      </w:r>
      <w:r w:rsidR="005C0E05" w:rsidRPr="00975266">
        <w:rPr>
          <w:rFonts w:ascii="仿宋" w:eastAsia="仿宋" w:hAnsi="仿宋" w:hint="eastAsia"/>
          <w:b/>
          <w:bCs/>
        </w:rPr>
        <w:t>水稻品种EDV阈值的确定</w:t>
      </w:r>
    </w:p>
    <w:p w14:paraId="5AD68A59" w14:textId="59786448" w:rsidR="005550C9" w:rsidRPr="00E14275" w:rsidRDefault="005C0E05" w:rsidP="00975266">
      <w:pPr>
        <w:ind w:firstLine="420"/>
        <w:rPr>
          <w:rFonts w:ascii="仿宋" w:eastAsia="仿宋" w:hAnsi="仿宋"/>
        </w:rPr>
      </w:pPr>
      <w:r w:rsidRPr="00E14275">
        <w:rPr>
          <w:rFonts w:ascii="仿宋" w:eastAsia="仿宋" w:hAnsi="仿宋" w:hint="eastAsia"/>
        </w:rPr>
        <w:t>对6044份</w:t>
      </w:r>
      <w:r w:rsidRPr="00E14275">
        <w:rPr>
          <w:rFonts w:ascii="仿宋" w:eastAsia="仿宋" w:hAnsi="仿宋"/>
        </w:rPr>
        <w:t>代表性水稻品种</w:t>
      </w:r>
      <w:r w:rsidR="00A62C82" w:rsidRPr="00E14275">
        <w:rPr>
          <w:rFonts w:ascii="仿宋" w:eastAsia="仿宋" w:hAnsi="仿宋" w:hint="eastAsia"/>
        </w:rPr>
        <w:t>依据籼稻、粳稻遗传背景进行抽样和两两比对</w:t>
      </w:r>
      <w:r w:rsidR="002C3843">
        <w:rPr>
          <w:rFonts w:ascii="仿宋" w:eastAsia="仿宋" w:hAnsi="仿宋" w:hint="eastAsia"/>
        </w:rPr>
        <w:t>计算遗传相似度</w:t>
      </w:r>
      <w:r w:rsidR="00A62C82" w:rsidRPr="00E14275">
        <w:rPr>
          <w:rFonts w:ascii="仿宋" w:eastAsia="仿宋" w:hAnsi="仿宋" w:hint="eastAsia"/>
        </w:rPr>
        <w:t>，每组抽样200万对</w:t>
      </w:r>
      <w:r w:rsidR="002C3843">
        <w:rPr>
          <w:rFonts w:ascii="仿宋" w:eastAsia="仿宋" w:hAnsi="仿宋" w:hint="eastAsia"/>
        </w:rPr>
        <w:t>，结果表明，</w:t>
      </w:r>
      <w:r w:rsidR="00A62C82" w:rsidRPr="00E14275">
        <w:rPr>
          <w:rFonts w:ascii="仿宋" w:eastAsia="仿宋" w:hAnsi="仿宋"/>
        </w:rPr>
        <w:t>粳稻</w:t>
      </w:r>
      <w:r w:rsidR="00D77C4F" w:rsidRPr="00E14275">
        <w:rPr>
          <w:rFonts w:ascii="仿宋" w:eastAsia="仿宋" w:hAnsi="仿宋" w:hint="eastAsia"/>
        </w:rPr>
        <w:t>样本对99百分位数</w:t>
      </w:r>
      <w:bookmarkStart w:id="11" w:name="_Hlk199340996"/>
      <w:r w:rsidR="002C3843">
        <w:rPr>
          <w:rFonts w:ascii="仿宋" w:eastAsia="仿宋" w:hAnsi="仿宋" w:hint="eastAsia"/>
        </w:rPr>
        <w:t>的遗传相似度为</w:t>
      </w:r>
      <w:r w:rsidR="00A62C82" w:rsidRPr="00E14275">
        <w:rPr>
          <w:rFonts w:ascii="仿宋" w:eastAsia="仿宋" w:hAnsi="仿宋"/>
        </w:rPr>
        <w:t xml:space="preserve"> </w:t>
      </w:r>
      <w:bookmarkEnd w:id="11"/>
      <w:r w:rsidR="00A62C82" w:rsidRPr="00E14275">
        <w:rPr>
          <w:rFonts w:ascii="仿宋" w:eastAsia="仿宋" w:hAnsi="仿宋"/>
        </w:rPr>
        <w:t xml:space="preserve">91.1% </w:t>
      </w:r>
      <w:r w:rsidR="00A62C82" w:rsidRPr="00E14275">
        <w:rPr>
          <w:rFonts w:ascii="仿宋" w:eastAsia="仿宋" w:hAnsi="仿宋" w:hint="eastAsia"/>
        </w:rPr>
        <w:t>、</w:t>
      </w:r>
      <w:r w:rsidR="00D77C4F" w:rsidRPr="00E14275">
        <w:rPr>
          <w:rFonts w:ascii="仿宋" w:eastAsia="仿宋" w:hAnsi="仿宋" w:hint="eastAsia"/>
        </w:rPr>
        <w:t>99.9百分位数</w:t>
      </w:r>
      <w:bookmarkStart w:id="12" w:name="_Hlk199341026"/>
      <w:r w:rsidR="002C3843" w:rsidRPr="002C3843">
        <w:rPr>
          <w:rFonts w:ascii="仿宋" w:eastAsia="仿宋" w:hAnsi="仿宋" w:hint="eastAsia"/>
        </w:rPr>
        <w:t>的遗传相似度为</w:t>
      </w:r>
      <w:bookmarkEnd w:id="12"/>
      <w:r w:rsidR="00A62C82" w:rsidRPr="00E14275">
        <w:rPr>
          <w:rFonts w:ascii="仿宋" w:eastAsia="仿宋" w:hAnsi="仿宋"/>
        </w:rPr>
        <w:t>98.4%</w:t>
      </w:r>
      <w:r w:rsidR="00A62C82" w:rsidRPr="00E14275">
        <w:rPr>
          <w:rFonts w:ascii="仿宋" w:eastAsia="仿宋" w:hAnsi="仿宋" w:hint="eastAsia"/>
        </w:rPr>
        <w:t>。</w:t>
      </w:r>
      <w:r w:rsidR="00A62C82" w:rsidRPr="00E14275">
        <w:rPr>
          <w:rFonts w:ascii="仿宋" w:eastAsia="仿宋" w:hAnsi="仿宋"/>
        </w:rPr>
        <w:t>籼稻</w:t>
      </w:r>
      <w:r w:rsidR="00D77C4F" w:rsidRPr="00E14275">
        <w:rPr>
          <w:rFonts w:ascii="仿宋" w:eastAsia="仿宋" w:hAnsi="仿宋" w:hint="eastAsia"/>
        </w:rPr>
        <w:t>样本对99百分位数</w:t>
      </w:r>
      <w:r w:rsidR="00A62C82" w:rsidRPr="00E14275">
        <w:rPr>
          <w:rFonts w:ascii="仿宋" w:eastAsia="仿宋" w:hAnsi="仿宋"/>
        </w:rPr>
        <w:t>样本对</w:t>
      </w:r>
      <w:r w:rsidR="002C3843" w:rsidRPr="002C3843">
        <w:rPr>
          <w:rFonts w:ascii="仿宋" w:eastAsia="仿宋" w:hAnsi="仿宋" w:hint="eastAsia"/>
        </w:rPr>
        <w:t>的遗传相似度为</w:t>
      </w:r>
      <w:r w:rsidR="00A62C82" w:rsidRPr="00E14275">
        <w:rPr>
          <w:rFonts w:ascii="仿宋" w:eastAsia="仿宋" w:hAnsi="仿宋"/>
        </w:rPr>
        <w:t xml:space="preserve"> 90.3%</w:t>
      </w:r>
      <w:r w:rsidR="008A664C">
        <w:rPr>
          <w:rFonts w:ascii="仿宋" w:eastAsia="仿宋" w:hAnsi="仿宋" w:hint="eastAsia"/>
        </w:rPr>
        <w:t>；</w:t>
      </w:r>
      <w:r w:rsidR="00D77C4F" w:rsidRPr="00E14275">
        <w:rPr>
          <w:rFonts w:ascii="仿宋" w:eastAsia="仿宋" w:hAnsi="仿宋" w:hint="eastAsia"/>
        </w:rPr>
        <w:t>99.9百分位数</w:t>
      </w:r>
      <w:r w:rsidR="002C3843" w:rsidRPr="002C3843">
        <w:rPr>
          <w:rFonts w:ascii="仿宋" w:eastAsia="仿宋" w:hAnsi="仿宋" w:hint="eastAsia"/>
        </w:rPr>
        <w:t>的遗传相似度为</w:t>
      </w:r>
      <w:r w:rsidR="00A62C82" w:rsidRPr="00E14275">
        <w:rPr>
          <w:rFonts w:ascii="仿宋" w:eastAsia="仿宋" w:hAnsi="仿宋"/>
        </w:rPr>
        <w:t xml:space="preserve"> 96.7%</w:t>
      </w:r>
      <w:r w:rsidR="00A62C82" w:rsidRPr="00E14275">
        <w:rPr>
          <w:rFonts w:ascii="仿宋" w:eastAsia="仿宋" w:hAnsi="仿宋" w:hint="eastAsia"/>
        </w:rPr>
        <w:t>。</w:t>
      </w:r>
    </w:p>
    <w:p w14:paraId="44367C23" w14:textId="77777777" w:rsidR="008A664C" w:rsidRPr="00BE4E1C" w:rsidRDefault="008A664C" w:rsidP="008A664C">
      <w:pPr>
        <w:ind w:firstLine="420"/>
        <w:rPr>
          <w:rFonts w:ascii="仿宋" w:eastAsia="仿宋" w:hAnsi="仿宋"/>
        </w:rPr>
      </w:pPr>
      <w:r w:rsidRPr="00BE4E1C">
        <w:rPr>
          <w:rFonts w:ascii="仿宋" w:eastAsia="仿宋" w:hAnsi="仿宋" w:hint="eastAsia"/>
        </w:rPr>
        <w:t>2021年9月，国家农作物品种审定委员会发布了《国家级稻品种审定标准（2021年修订）》规定，申请审定品种应当与已知品种DNA指纹检测差异位点数≥3个；申请审定品种与已知品种DNA指纹检测差异位点数=2个的，需进行田间小区种植鉴定证明有重要农艺性状差异。</w:t>
      </w:r>
    </w:p>
    <w:p w14:paraId="37C808EB" w14:textId="4B3DC6AE" w:rsidR="00AD68D2" w:rsidRPr="00BE4E1C" w:rsidRDefault="00AD68D2" w:rsidP="008A664C">
      <w:pPr>
        <w:ind w:firstLine="420"/>
        <w:rPr>
          <w:rFonts w:ascii="仿宋" w:eastAsia="仿宋" w:hAnsi="仿宋"/>
        </w:rPr>
      </w:pPr>
      <w:r w:rsidRPr="00BE4E1C">
        <w:rPr>
          <w:rFonts w:ascii="仿宋" w:eastAsia="仿宋" w:hAnsi="仿宋" w:hint="eastAsia"/>
        </w:rPr>
        <w:t>在《植物品种鉴定 MNP标记法》国家标准（GB/T 38551-2020）中，水稻新品种的判定阈值为96%；《水稻品种及其实质性派生品种鉴定 MNP标记法NY/T 4459-2025》中，实质性派生品种的判定阈值为92%，国际种子联盟（ISF）分别于2004年和2007年制定了一系列作物的实质性派生品种判定准则。对生菜、棉花、玉米、油菜实质性派生品种的遗传相似系数的判定阈值分别规定为96%、87.5%、82%和85%。</w:t>
      </w:r>
    </w:p>
    <w:p w14:paraId="1B2DCBFE" w14:textId="103B619A" w:rsidR="005550C9" w:rsidRPr="00E14275" w:rsidRDefault="005550C9" w:rsidP="00975266">
      <w:pPr>
        <w:ind w:firstLine="420"/>
        <w:rPr>
          <w:rFonts w:ascii="仿宋" w:eastAsia="仿宋" w:hAnsi="仿宋"/>
        </w:rPr>
      </w:pPr>
      <w:r w:rsidRPr="00E14275">
        <w:rPr>
          <w:rFonts w:ascii="仿宋" w:eastAsia="仿宋" w:hAnsi="仿宋"/>
        </w:rPr>
        <w:t>考虑了当前水稻品种长期选育过程中遗传同质化严重的现实情况。近年来，大量品种选育过程中存在共用亲本、间接回交、育种材料共享等现象，导致不同品种之间在全基因组水平的遗传相似性显著提高，</w:t>
      </w:r>
      <w:r w:rsidRPr="00E14275">
        <w:rPr>
          <w:rFonts w:ascii="仿宋" w:eastAsia="仿宋" w:hAnsi="仿宋" w:hint="eastAsia"/>
        </w:rPr>
        <w:t>在</w:t>
      </w:r>
      <w:r w:rsidR="00D77C4F" w:rsidRPr="00E14275">
        <w:rPr>
          <w:rFonts w:ascii="仿宋" w:eastAsia="仿宋" w:hAnsi="仿宋" w:hint="eastAsia"/>
        </w:rPr>
        <w:t>参考</w:t>
      </w:r>
      <w:r w:rsidRPr="00E14275">
        <w:rPr>
          <w:rFonts w:ascii="仿宋" w:eastAsia="仿宋" w:hAnsi="仿宋" w:hint="eastAsia"/>
        </w:rPr>
        <w:t>现行</w:t>
      </w:r>
      <w:r w:rsidR="00D77C4F" w:rsidRPr="00E14275">
        <w:rPr>
          <w:rFonts w:ascii="仿宋" w:eastAsia="仿宋" w:hAnsi="仿宋" w:hint="eastAsia"/>
        </w:rPr>
        <w:t>水稻MNP判定阈值</w:t>
      </w:r>
      <w:r w:rsidRPr="00E14275">
        <w:rPr>
          <w:rFonts w:ascii="仿宋" w:eastAsia="仿宋" w:hAnsi="仿宋" w:hint="eastAsia"/>
        </w:rPr>
        <w:t>等情况下，</w:t>
      </w:r>
    </w:p>
    <w:p w14:paraId="66B1ACA1" w14:textId="7EEFFB46" w:rsidR="005550C9" w:rsidRDefault="005550C9" w:rsidP="00975266">
      <w:pPr>
        <w:ind w:firstLine="420"/>
        <w:rPr>
          <w:rFonts w:ascii="仿宋" w:eastAsia="仿宋" w:hAnsi="仿宋"/>
          <w:b/>
          <w:bCs/>
        </w:rPr>
      </w:pPr>
      <w:r w:rsidRPr="00975266">
        <w:rPr>
          <w:rFonts w:ascii="仿宋" w:eastAsia="仿宋" w:hAnsi="仿宋"/>
          <w:b/>
          <w:bCs/>
        </w:rPr>
        <w:t>本标准将EDV判定的推荐阈值</w:t>
      </w:r>
      <w:r w:rsidRPr="00975266">
        <w:rPr>
          <w:rFonts w:ascii="仿宋" w:eastAsia="仿宋" w:hAnsi="仿宋" w:hint="eastAsia"/>
          <w:b/>
          <w:bCs/>
        </w:rPr>
        <w:t>为</w:t>
      </w:r>
      <w:r w:rsidRPr="00975266">
        <w:rPr>
          <w:rFonts w:ascii="仿宋" w:eastAsia="仿宋" w:hAnsi="仿宋"/>
          <w:b/>
          <w:bCs/>
        </w:rPr>
        <w:t>92%，以提高实质性衍生判定的敏感性。为平衡敏感性与特异性，将GS ≥97%作为确定性判据，将92%-97%之间作为综合判定区，并结合系谱、育种方式和表型特征等多因素辅助判断。</w:t>
      </w:r>
    </w:p>
    <w:p w14:paraId="0A52BBE6" w14:textId="77777777" w:rsidR="00975266" w:rsidRPr="00975266" w:rsidRDefault="00975266" w:rsidP="008A3A36">
      <w:pPr>
        <w:rPr>
          <w:rFonts w:ascii="仿宋" w:eastAsia="仿宋" w:hAnsi="仿宋"/>
          <w:b/>
          <w:bCs/>
        </w:rPr>
      </w:pPr>
    </w:p>
    <w:p w14:paraId="1C569B9B" w14:textId="23F99CE7" w:rsidR="005550C9" w:rsidRPr="00975266" w:rsidRDefault="005550C9">
      <w:pPr>
        <w:rPr>
          <w:rFonts w:ascii="仿宋" w:eastAsia="仿宋" w:hAnsi="仿宋"/>
          <w:b/>
          <w:bCs/>
        </w:rPr>
      </w:pPr>
      <w:r w:rsidRPr="00975266">
        <w:rPr>
          <w:rFonts w:ascii="仿宋" w:eastAsia="仿宋" w:hAnsi="仿宋" w:hint="eastAsia"/>
          <w:b/>
          <w:bCs/>
        </w:rPr>
        <w:t>（6）</w:t>
      </w:r>
      <w:r w:rsidR="003F39E7" w:rsidRPr="00975266">
        <w:rPr>
          <w:rFonts w:ascii="仿宋" w:eastAsia="仿宋" w:hAnsi="仿宋" w:hint="eastAsia"/>
          <w:b/>
          <w:bCs/>
        </w:rPr>
        <w:t>依据此标准</w:t>
      </w:r>
      <w:r w:rsidR="00B42074" w:rsidRPr="00975266">
        <w:rPr>
          <w:rFonts w:ascii="仿宋" w:eastAsia="仿宋" w:hAnsi="仿宋" w:hint="eastAsia"/>
          <w:b/>
          <w:bCs/>
        </w:rPr>
        <w:t>对水稻实质性派生品种进行鉴定的实施例</w:t>
      </w:r>
    </w:p>
    <w:p w14:paraId="44296178" w14:textId="198F40EB" w:rsidR="00975266" w:rsidRPr="00975266" w:rsidRDefault="002C3843">
      <w:pPr>
        <w:rPr>
          <w:rFonts w:ascii="仿宋" w:eastAsia="仿宋" w:hAnsi="仿宋"/>
          <w:b/>
          <w:bCs/>
        </w:rPr>
      </w:pPr>
      <w:bookmarkStart w:id="13" w:name="_Hlk199341108"/>
      <w:r>
        <w:rPr>
          <w:rFonts w:ascii="仿宋" w:eastAsia="仿宋" w:hAnsi="仿宋" w:hint="eastAsia"/>
          <w:b/>
          <w:bCs/>
        </w:rPr>
        <w:t>测试</w:t>
      </w:r>
      <w:bookmarkEnd w:id="13"/>
      <w:r w:rsidR="00B42074" w:rsidRPr="00975266">
        <w:rPr>
          <w:rFonts w:ascii="仿宋" w:eastAsia="仿宋" w:hAnsi="仿宋" w:hint="eastAsia"/>
          <w:b/>
          <w:bCs/>
        </w:rPr>
        <w:t>样本一：</w:t>
      </w:r>
    </w:p>
    <w:p w14:paraId="357BFE56" w14:textId="3389B784" w:rsidR="002917C4" w:rsidRDefault="005233D8" w:rsidP="00080AB1">
      <w:pPr>
        <w:ind w:firstLine="420"/>
        <w:rPr>
          <w:rFonts w:ascii="仿宋" w:eastAsia="仿宋" w:hAnsi="仿宋"/>
        </w:rPr>
      </w:pPr>
      <w:r>
        <w:rPr>
          <w:rFonts w:ascii="仿宋" w:eastAsia="仿宋" w:hAnsi="仿宋" w:hint="eastAsia"/>
        </w:rPr>
        <w:t>单位A提供</w:t>
      </w:r>
      <w:r w:rsidR="00080AB1">
        <w:rPr>
          <w:rFonts w:ascii="仿宋" w:eastAsia="仿宋" w:hAnsi="仿宋" w:hint="eastAsia"/>
        </w:rPr>
        <w:t>9</w:t>
      </w:r>
      <w:r w:rsidR="00080AB1">
        <w:rPr>
          <w:rFonts w:ascii="仿宋" w:eastAsia="仿宋" w:hAnsi="仿宋"/>
        </w:rPr>
        <w:t>3</w:t>
      </w:r>
      <w:r w:rsidR="00080AB1">
        <w:rPr>
          <w:rFonts w:ascii="仿宋" w:eastAsia="仿宋" w:hAnsi="仿宋" w:hint="eastAsia"/>
        </w:rPr>
        <w:t>份特定品系谱及衍生审定品种，两两样本比较共计</w:t>
      </w:r>
      <w:r w:rsidR="00080AB1" w:rsidRPr="00080AB1">
        <w:rPr>
          <w:rFonts w:ascii="仿宋" w:eastAsia="仿宋" w:hAnsi="仿宋"/>
        </w:rPr>
        <w:t>4278</w:t>
      </w:r>
      <w:r w:rsidR="00080AB1">
        <w:rPr>
          <w:rFonts w:ascii="仿宋" w:eastAsia="仿宋" w:hAnsi="仿宋" w:hint="eastAsia"/>
        </w:rPr>
        <w:t>对组合。其中GS大于0.92的样本对共计</w:t>
      </w:r>
      <w:r w:rsidR="00080AB1" w:rsidRPr="00080AB1">
        <w:rPr>
          <w:rFonts w:ascii="仿宋" w:eastAsia="仿宋" w:hAnsi="仿宋"/>
        </w:rPr>
        <w:t>458</w:t>
      </w:r>
      <w:r w:rsidR="00080AB1">
        <w:rPr>
          <w:rFonts w:ascii="仿宋" w:eastAsia="仿宋" w:hAnsi="仿宋" w:hint="eastAsia"/>
        </w:rPr>
        <w:t>对，约占总对数的10.7%。GS大于0.97的样本对共计8对，约占总对数的0.18%</w:t>
      </w:r>
      <w:r w:rsidR="00405D80">
        <w:rPr>
          <w:rFonts w:ascii="仿宋" w:eastAsia="仿宋" w:hAnsi="仿宋" w:hint="eastAsia"/>
        </w:rPr>
        <w:t>。</w:t>
      </w:r>
      <w:r w:rsidR="009D0845">
        <w:rPr>
          <w:rFonts w:ascii="仿宋" w:eastAsia="仿宋" w:hAnsi="仿宋" w:hint="eastAsia"/>
        </w:rPr>
        <w:t>其中大于0.97的样本对其亲本关系极其相似。</w:t>
      </w:r>
    </w:p>
    <w:p w14:paraId="3D601FFB" w14:textId="77777777" w:rsidR="00405D80" w:rsidRDefault="00405D80" w:rsidP="00080AB1">
      <w:pPr>
        <w:ind w:firstLine="420"/>
        <w:rPr>
          <w:rFonts w:ascii="仿宋" w:eastAsia="仿宋" w:hAnsi="仿宋"/>
        </w:rPr>
      </w:pPr>
    </w:p>
    <w:tbl>
      <w:tblPr>
        <w:tblW w:w="6998" w:type="dxa"/>
        <w:tblInd w:w="644" w:type="dxa"/>
        <w:tblCellMar>
          <w:left w:w="0" w:type="dxa"/>
          <w:right w:w="0" w:type="dxa"/>
        </w:tblCellMar>
        <w:tblLook w:val="04A0" w:firstRow="1" w:lastRow="0" w:firstColumn="1" w:lastColumn="0" w:noHBand="0" w:noVBand="1"/>
      </w:tblPr>
      <w:tblGrid>
        <w:gridCol w:w="1126"/>
        <w:gridCol w:w="734"/>
        <w:gridCol w:w="734"/>
        <w:gridCol w:w="734"/>
        <w:gridCol w:w="734"/>
        <w:gridCol w:w="734"/>
        <w:gridCol w:w="734"/>
        <w:gridCol w:w="734"/>
        <w:gridCol w:w="734"/>
      </w:tblGrid>
      <w:tr w:rsidR="00405D80" w:rsidRPr="00405D80" w14:paraId="17163E4E" w14:textId="77777777" w:rsidTr="00405D80">
        <w:trPr>
          <w:trHeight w:val="165"/>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60310B" w14:textId="77777777" w:rsidR="00405D80" w:rsidRPr="00405D80" w:rsidRDefault="00405D80" w:rsidP="00405D80">
            <w:pPr>
              <w:jc w:val="center"/>
              <w:rPr>
                <w:rFonts w:ascii="Arial" w:hAnsi="Arial" w:cs="Arial"/>
              </w:rPr>
            </w:pPr>
            <w:r w:rsidRPr="00405D80">
              <w:rPr>
                <w:rFonts w:ascii="Arial" w:hAnsi="Arial" w:cs="Arial"/>
                <w:color w:val="000000"/>
                <w:sz w:val="15"/>
                <w:szCs w:val="15"/>
              </w:rPr>
              <w:t>GS</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4628F2" w14:textId="77777777" w:rsidR="00405D80" w:rsidRPr="00405D80" w:rsidRDefault="00405D80" w:rsidP="00405D80">
            <w:pPr>
              <w:jc w:val="center"/>
              <w:rPr>
                <w:rFonts w:ascii="Arial" w:hAnsi="Arial" w:cs="Arial"/>
              </w:rPr>
            </w:pPr>
            <w:r w:rsidRPr="00405D80">
              <w:rPr>
                <w:rFonts w:ascii="Arial" w:hAnsi="Arial" w:cs="Arial"/>
                <w:color w:val="000000"/>
                <w:sz w:val="15"/>
                <w:szCs w:val="15"/>
              </w:rPr>
              <w:t>&gt;0.92</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C9DB45C" w14:textId="77777777" w:rsidR="00405D80" w:rsidRPr="00405D80" w:rsidRDefault="00405D80" w:rsidP="00405D80">
            <w:pPr>
              <w:jc w:val="center"/>
              <w:rPr>
                <w:rFonts w:ascii="Arial" w:hAnsi="Arial" w:cs="Arial"/>
              </w:rPr>
            </w:pPr>
            <w:r w:rsidRPr="00405D80">
              <w:rPr>
                <w:rFonts w:ascii="Arial" w:hAnsi="Arial" w:cs="Arial"/>
                <w:color w:val="000000"/>
                <w:sz w:val="15"/>
                <w:szCs w:val="15"/>
              </w:rPr>
              <w:t>&gt;0.93</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91D3591" w14:textId="77777777" w:rsidR="00405D80" w:rsidRPr="00405D80" w:rsidRDefault="00405D80" w:rsidP="00405D80">
            <w:pPr>
              <w:jc w:val="center"/>
              <w:rPr>
                <w:rFonts w:ascii="Arial" w:hAnsi="Arial" w:cs="Arial"/>
              </w:rPr>
            </w:pPr>
            <w:r w:rsidRPr="00405D80">
              <w:rPr>
                <w:rFonts w:ascii="Arial" w:hAnsi="Arial" w:cs="Arial"/>
                <w:color w:val="000000"/>
                <w:sz w:val="15"/>
                <w:szCs w:val="15"/>
              </w:rPr>
              <w:t>&gt;0.94</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09CD72B" w14:textId="77777777" w:rsidR="00405D80" w:rsidRPr="00405D80" w:rsidRDefault="00405D80" w:rsidP="00405D80">
            <w:pPr>
              <w:jc w:val="center"/>
              <w:rPr>
                <w:rFonts w:ascii="Arial" w:hAnsi="Arial" w:cs="Arial"/>
              </w:rPr>
            </w:pPr>
            <w:r w:rsidRPr="00405D80">
              <w:rPr>
                <w:rFonts w:ascii="Arial" w:hAnsi="Arial" w:cs="Arial"/>
                <w:color w:val="000000"/>
                <w:sz w:val="15"/>
                <w:szCs w:val="15"/>
              </w:rPr>
              <w:t>&gt;0.95</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BF737C8" w14:textId="77777777" w:rsidR="00405D80" w:rsidRPr="00405D80" w:rsidRDefault="00405D80" w:rsidP="00405D80">
            <w:pPr>
              <w:jc w:val="center"/>
              <w:rPr>
                <w:rFonts w:ascii="Arial" w:hAnsi="Arial" w:cs="Arial"/>
              </w:rPr>
            </w:pPr>
            <w:r w:rsidRPr="00405D80">
              <w:rPr>
                <w:rFonts w:ascii="Arial" w:hAnsi="Arial" w:cs="Arial"/>
                <w:color w:val="000000"/>
                <w:sz w:val="15"/>
                <w:szCs w:val="15"/>
              </w:rPr>
              <w:t>&gt;0.96</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23BF1B" w14:textId="77777777" w:rsidR="00405D80" w:rsidRPr="00405D80" w:rsidRDefault="00405D80" w:rsidP="00405D80">
            <w:pPr>
              <w:jc w:val="center"/>
              <w:rPr>
                <w:rFonts w:ascii="Arial" w:hAnsi="Arial" w:cs="Arial"/>
              </w:rPr>
            </w:pPr>
            <w:r w:rsidRPr="00405D80">
              <w:rPr>
                <w:rFonts w:ascii="Arial" w:hAnsi="Arial" w:cs="Arial"/>
                <w:color w:val="000000"/>
                <w:sz w:val="15"/>
                <w:szCs w:val="15"/>
              </w:rPr>
              <w:t>&gt;0.97</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677724" w14:textId="77777777" w:rsidR="00405D80" w:rsidRPr="00405D80" w:rsidRDefault="00405D80" w:rsidP="00405D80">
            <w:pPr>
              <w:jc w:val="center"/>
              <w:rPr>
                <w:rFonts w:ascii="Arial" w:hAnsi="Arial" w:cs="Arial"/>
              </w:rPr>
            </w:pPr>
            <w:r w:rsidRPr="00405D80">
              <w:rPr>
                <w:rFonts w:ascii="Arial" w:hAnsi="Arial" w:cs="Arial"/>
                <w:color w:val="000000"/>
                <w:sz w:val="15"/>
                <w:szCs w:val="15"/>
              </w:rPr>
              <w:t>&gt;0.98</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05279C5" w14:textId="77777777" w:rsidR="00405D80" w:rsidRPr="00405D80" w:rsidRDefault="00405D80" w:rsidP="00405D80">
            <w:pPr>
              <w:jc w:val="center"/>
              <w:rPr>
                <w:rFonts w:ascii="Arial" w:hAnsi="Arial" w:cs="Arial"/>
              </w:rPr>
            </w:pPr>
            <w:r w:rsidRPr="00405D80">
              <w:rPr>
                <w:rFonts w:ascii="Arial" w:hAnsi="Arial" w:cs="Arial"/>
                <w:color w:val="000000"/>
                <w:sz w:val="15"/>
                <w:szCs w:val="15"/>
              </w:rPr>
              <w:t>&gt;0.99</w:t>
            </w:r>
          </w:p>
        </w:tc>
      </w:tr>
      <w:tr w:rsidR="00405D80" w:rsidRPr="00405D80" w14:paraId="3EC85A71" w14:textId="77777777" w:rsidTr="00405D80">
        <w:trPr>
          <w:trHeight w:val="195"/>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60F19B" w14:textId="77777777" w:rsidR="00405D80" w:rsidRPr="00405D80" w:rsidRDefault="00405D80" w:rsidP="00405D80">
            <w:pPr>
              <w:jc w:val="center"/>
              <w:rPr>
                <w:rFonts w:ascii="Arial" w:hAnsi="Arial" w:cs="Arial"/>
              </w:rPr>
            </w:pPr>
            <w:r w:rsidRPr="00405D80">
              <w:rPr>
                <w:rFonts w:ascii="Arial" w:eastAsia="PingFang SC" w:hAnsi="Arial" w:cs="Arial"/>
                <w:color w:val="000000"/>
                <w:sz w:val="15"/>
                <w:szCs w:val="15"/>
              </w:rPr>
              <w:lastRenderedPageBreak/>
              <w:t>样本对数目</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12194C8" w14:textId="77777777" w:rsidR="00405D80" w:rsidRPr="00405D80" w:rsidRDefault="00405D80" w:rsidP="00405D80">
            <w:pPr>
              <w:jc w:val="center"/>
              <w:rPr>
                <w:rFonts w:ascii="Arial" w:hAnsi="Arial" w:cs="Arial"/>
              </w:rPr>
            </w:pPr>
            <w:r w:rsidRPr="00405D80">
              <w:rPr>
                <w:rFonts w:ascii="Arial" w:hAnsi="Arial" w:cs="Arial"/>
                <w:color w:val="000000"/>
                <w:sz w:val="15"/>
                <w:szCs w:val="15"/>
              </w:rPr>
              <w:t>458</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055B5D0" w14:textId="77777777" w:rsidR="00405D80" w:rsidRPr="00405D80" w:rsidRDefault="00405D80" w:rsidP="00405D80">
            <w:pPr>
              <w:jc w:val="center"/>
              <w:rPr>
                <w:rFonts w:ascii="Arial" w:hAnsi="Arial" w:cs="Arial"/>
              </w:rPr>
            </w:pPr>
            <w:r w:rsidRPr="00405D80">
              <w:rPr>
                <w:rFonts w:ascii="Arial" w:hAnsi="Arial" w:cs="Arial"/>
                <w:color w:val="000000"/>
                <w:sz w:val="15"/>
                <w:szCs w:val="15"/>
              </w:rPr>
              <w:t>241</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2CE1C0" w14:textId="77777777" w:rsidR="00405D80" w:rsidRPr="00405D80" w:rsidRDefault="00405D80" w:rsidP="00405D80">
            <w:pPr>
              <w:jc w:val="center"/>
              <w:rPr>
                <w:rFonts w:ascii="Arial" w:hAnsi="Arial" w:cs="Arial"/>
              </w:rPr>
            </w:pPr>
            <w:r w:rsidRPr="00405D80">
              <w:rPr>
                <w:rFonts w:ascii="Arial" w:hAnsi="Arial" w:cs="Arial"/>
                <w:color w:val="000000"/>
                <w:sz w:val="15"/>
                <w:szCs w:val="15"/>
              </w:rPr>
              <w:t>121</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BDD5FE2" w14:textId="77777777" w:rsidR="00405D80" w:rsidRPr="00405D80" w:rsidRDefault="00405D80" w:rsidP="00405D80">
            <w:pPr>
              <w:jc w:val="center"/>
              <w:rPr>
                <w:rFonts w:ascii="Arial" w:hAnsi="Arial" w:cs="Arial"/>
              </w:rPr>
            </w:pPr>
            <w:r w:rsidRPr="00405D80">
              <w:rPr>
                <w:rFonts w:ascii="Arial" w:hAnsi="Arial" w:cs="Arial"/>
                <w:color w:val="000000"/>
                <w:sz w:val="15"/>
                <w:szCs w:val="15"/>
              </w:rPr>
              <w:t>55</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B458D5" w14:textId="77777777" w:rsidR="00405D80" w:rsidRPr="00405D80" w:rsidRDefault="00405D80" w:rsidP="00405D80">
            <w:pPr>
              <w:jc w:val="center"/>
              <w:rPr>
                <w:rFonts w:ascii="Arial" w:hAnsi="Arial" w:cs="Arial"/>
              </w:rPr>
            </w:pPr>
            <w:r w:rsidRPr="00405D80">
              <w:rPr>
                <w:rFonts w:ascii="Arial" w:hAnsi="Arial" w:cs="Arial"/>
                <w:color w:val="000000"/>
                <w:sz w:val="15"/>
                <w:szCs w:val="15"/>
              </w:rPr>
              <w:t>22</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FC0ED9E" w14:textId="77777777" w:rsidR="00405D80" w:rsidRPr="00405D80" w:rsidRDefault="00405D80" w:rsidP="00405D80">
            <w:pPr>
              <w:jc w:val="center"/>
              <w:rPr>
                <w:rFonts w:ascii="Arial" w:hAnsi="Arial" w:cs="Arial"/>
              </w:rPr>
            </w:pPr>
            <w:r w:rsidRPr="00405D80">
              <w:rPr>
                <w:rFonts w:ascii="Arial" w:hAnsi="Arial" w:cs="Arial"/>
                <w:color w:val="000000"/>
                <w:sz w:val="15"/>
                <w:szCs w:val="15"/>
              </w:rPr>
              <w:t>8</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768CB8C" w14:textId="77777777" w:rsidR="00405D80" w:rsidRPr="00405D80" w:rsidRDefault="00405D80" w:rsidP="00405D80">
            <w:pPr>
              <w:jc w:val="center"/>
              <w:rPr>
                <w:rFonts w:ascii="Arial" w:hAnsi="Arial" w:cs="Arial"/>
              </w:rPr>
            </w:pPr>
            <w:r w:rsidRPr="00405D80">
              <w:rPr>
                <w:rFonts w:ascii="Arial" w:hAnsi="Arial" w:cs="Arial"/>
                <w:color w:val="000000"/>
                <w:sz w:val="15"/>
                <w:szCs w:val="15"/>
              </w:rPr>
              <w:t>3</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A558B27" w14:textId="77777777" w:rsidR="00405D80" w:rsidRPr="00405D80" w:rsidRDefault="00405D80" w:rsidP="00405D80">
            <w:pPr>
              <w:jc w:val="center"/>
              <w:rPr>
                <w:rFonts w:ascii="Arial" w:hAnsi="Arial" w:cs="Arial"/>
              </w:rPr>
            </w:pPr>
            <w:r w:rsidRPr="00405D80">
              <w:rPr>
                <w:rFonts w:ascii="Arial" w:hAnsi="Arial" w:cs="Arial"/>
                <w:color w:val="000000"/>
                <w:sz w:val="15"/>
                <w:szCs w:val="15"/>
              </w:rPr>
              <w:t>1</w:t>
            </w:r>
          </w:p>
        </w:tc>
      </w:tr>
      <w:tr w:rsidR="00405D80" w:rsidRPr="00405D80" w14:paraId="585F8F0D" w14:textId="77777777" w:rsidTr="00405D80">
        <w:trPr>
          <w:trHeight w:val="420"/>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74283E2" w14:textId="77777777" w:rsidR="00405D80" w:rsidRPr="00405D80" w:rsidRDefault="00405D80" w:rsidP="00405D80">
            <w:pPr>
              <w:jc w:val="center"/>
              <w:rPr>
                <w:rFonts w:ascii="Arial" w:hAnsi="Arial" w:cs="Arial"/>
              </w:rPr>
            </w:pPr>
            <w:r w:rsidRPr="00405D80">
              <w:rPr>
                <w:rFonts w:ascii="Arial" w:eastAsia="PingFang SC" w:hAnsi="Arial" w:cs="Arial"/>
                <w:color w:val="000000"/>
                <w:sz w:val="15"/>
                <w:szCs w:val="15"/>
              </w:rPr>
              <w:t>占比总样本对数的百分比</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DCA3EFB" w14:textId="77777777" w:rsidR="00405D80" w:rsidRPr="00405D80" w:rsidRDefault="00405D80" w:rsidP="00405D80">
            <w:pPr>
              <w:jc w:val="center"/>
              <w:rPr>
                <w:rFonts w:ascii="Arial" w:hAnsi="Arial" w:cs="Arial"/>
              </w:rPr>
            </w:pPr>
            <w:r w:rsidRPr="00405D80">
              <w:rPr>
                <w:rFonts w:ascii="Arial" w:hAnsi="Arial" w:cs="Arial"/>
                <w:color w:val="000000"/>
                <w:sz w:val="15"/>
                <w:szCs w:val="15"/>
              </w:rPr>
              <w:t>10.71%</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2DF00C6" w14:textId="77777777" w:rsidR="00405D80" w:rsidRPr="00405D80" w:rsidRDefault="00405D80" w:rsidP="00405D80">
            <w:pPr>
              <w:jc w:val="center"/>
              <w:rPr>
                <w:rFonts w:ascii="Arial" w:hAnsi="Arial" w:cs="Arial"/>
              </w:rPr>
            </w:pPr>
            <w:r w:rsidRPr="00405D80">
              <w:rPr>
                <w:rFonts w:ascii="Arial" w:hAnsi="Arial" w:cs="Arial"/>
                <w:color w:val="000000"/>
                <w:sz w:val="15"/>
                <w:szCs w:val="15"/>
              </w:rPr>
              <w:t>5.63%</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02D5A63" w14:textId="77777777" w:rsidR="00405D80" w:rsidRPr="00405D80" w:rsidRDefault="00405D80" w:rsidP="00405D80">
            <w:pPr>
              <w:jc w:val="center"/>
              <w:rPr>
                <w:rFonts w:ascii="Arial" w:hAnsi="Arial" w:cs="Arial"/>
              </w:rPr>
            </w:pPr>
            <w:r w:rsidRPr="00405D80">
              <w:rPr>
                <w:rFonts w:ascii="Arial" w:hAnsi="Arial" w:cs="Arial"/>
                <w:color w:val="000000"/>
                <w:sz w:val="15"/>
                <w:szCs w:val="15"/>
              </w:rPr>
              <w:t>2.83%</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6F1531E" w14:textId="77777777" w:rsidR="00405D80" w:rsidRPr="00405D80" w:rsidRDefault="00405D80" w:rsidP="00405D80">
            <w:pPr>
              <w:jc w:val="center"/>
              <w:rPr>
                <w:rFonts w:ascii="Arial" w:hAnsi="Arial" w:cs="Arial"/>
              </w:rPr>
            </w:pPr>
            <w:r w:rsidRPr="00405D80">
              <w:rPr>
                <w:rFonts w:ascii="Arial" w:hAnsi="Arial" w:cs="Arial"/>
                <w:color w:val="000000"/>
                <w:sz w:val="15"/>
                <w:szCs w:val="15"/>
              </w:rPr>
              <w:t>1.29%</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30E86DB" w14:textId="77777777" w:rsidR="00405D80" w:rsidRPr="00405D80" w:rsidRDefault="00405D80" w:rsidP="00405D80">
            <w:pPr>
              <w:jc w:val="center"/>
              <w:rPr>
                <w:rFonts w:ascii="Arial" w:hAnsi="Arial" w:cs="Arial"/>
              </w:rPr>
            </w:pPr>
            <w:r w:rsidRPr="00405D80">
              <w:rPr>
                <w:rFonts w:ascii="Arial" w:hAnsi="Arial" w:cs="Arial"/>
                <w:color w:val="000000"/>
                <w:sz w:val="15"/>
                <w:szCs w:val="15"/>
              </w:rPr>
              <w:t>0.51%</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F585B0C" w14:textId="77777777" w:rsidR="00405D80" w:rsidRPr="00405D80" w:rsidRDefault="00405D80" w:rsidP="00405D80">
            <w:pPr>
              <w:jc w:val="center"/>
              <w:rPr>
                <w:rFonts w:ascii="Arial" w:hAnsi="Arial" w:cs="Arial"/>
              </w:rPr>
            </w:pPr>
            <w:r w:rsidRPr="00405D80">
              <w:rPr>
                <w:rFonts w:ascii="Arial" w:hAnsi="Arial" w:cs="Arial"/>
                <w:color w:val="000000"/>
                <w:sz w:val="15"/>
                <w:szCs w:val="15"/>
              </w:rPr>
              <w:t>0.19%</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BA9ACE2" w14:textId="77777777" w:rsidR="00405D80" w:rsidRPr="00405D80" w:rsidRDefault="00405D80" w:rsidP="00405D80">
            <w:pPr>
              <w:jc w:val="center"/>
              <w:rPr>
                <w:rFonts w:ascii="Arial" w:hAnsi="Arial" w:cs="Arial"/>
              </w:rPr>
            </w:pPr>
            <w:r w:rsidRPr="00405D80">
              <w:rPr>
                <w:rFonts w:ascii="Arial" w:hAnsi="Arial" w:cs="Arial"/>
                <w:color w:val="000000"/>
                <w:sz w:val="15"/>
                <w:szCs w:val="15"/>
              </w:rPr>
              <w:t>0.07%</w:t>
            </w:r>
          </w:p>
        </w:tc>
        <w:tc>
          <w:tcPr>
            <w:tcW w:w="7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75A258D" w14:textId="77777777" w:rsidR="00405D80" w:rsidRPr="00405D80" w:rsidRDefault="00405D80" w:rsidP="00405D80">
            <w:pPr>
              <w:jc w:val="center"/>
              <w:rPr>
                <w:rFonts w:ascii="Arial" w:hAnsi="Arial" w:cs="Arial"/>
              </w:rPr>
            </w:pPr>
            <w:r w:rsidRPr="00405D80">
              <w:rPr>
                <w:rFonts w:ascii="Arial" w:hAnsi="Arial" w:cs="Arial"/>
                <w:color w:val="000000"/>
                <w:sz w:val="15"/>
                <w:szCs w:val="15"/>
              </w:rPr>
              <w:t>0.02%</w:t>
            </w:r>
          </w:p>
        </w:tc>
      </w:tr>
    </w:tbl>
    <w:p w14:paraId="689DD280" w14:textId="77777777" w:rsidR="00405D80" w:rsidRPr="00E14275" w:rsidRDefault="00405D80" w:rsidP="00080AB1">
      <w:pPr>
        <w:ind w:firstLine="420"/>
        <w:rPr>
          <w:rFonts w:ascii="仿宋" w:eastAsia="仿宋" w:hAnsi="仿宋"/>
        </w:rPr>
      </w:pPr>
    </w:p>
    <w:p w14:paraId="4F74F884" w14:textId="163EC5D8" w:rsidR="002917C4" w:rsidRPr="00E14275" w:rsidRDefault="00080AB1" w:rsidP="00405D80">
      <w:pPr>
        <w:jc w:val="center"/>
        <w:rPr>
          <w:rFonts w:ascii="仿宋" w:eastAsia="仿宋" w:hAnsi="仿宋"/>
        </w:rPr>
      </w:pPr>
      <w:r w:rsidRPr="00080AB1">
        <w:rPr>
          <w:rFonts w:ascii="仿宋" w:eastAsia="仿宋" w:hAnsi="仿宋"/>
          <w:noProof/>
        </w:rPr>
        <w:drawing>
          <wp:inline distT="0" distB="0" distL="0" distR="0" wp14:anchorId="0138A067" wp14:editId="36C46EBB">
            <wp:extent cx="3657600" cy="1854341"/>
            <wp:effectExtent l="0" t="0" r="0" b="0"/>
            <wp:docPr id="2143328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28839" name=""/>
                    <pic:cNvPicPr/>
                  </pic:nvPicPr>
                  <pic:blipFill>
                    <a:blip r:embed="rId13"/>
                    <a:stretch>
                      <a:fillRect/>
                    </a:stretch>
                  </pic:blipFill>
                  <pic:spPr>
                    <a:xfrm>
                      <a:off x="0" y="0"/>
                      <a:ext cx="3671205" cy="1861239"/>
                    </a:xfrm>
                    <a:prstGeom prst="rect">
                      <a:avLst/>
                    </a:prstGeom>
                  </pic:spPr>
                </pic:pic>
              </a:graphicData>
            </a:graphic>
          </wp:inline>
        </w:drawing>
      </w:r>
    </w:p>
    <w:p w14:paraId="1697D2DE" w14:textId="11882919" w:rsidR="002917C4" w:rsidRDefault="002917C4">
      <w:pPr>
        <w:rPr>
          <w:rFonts w:ascii="仿宋" w:eastAsia="仿宋" w:hAnsi="仿宋"/>
        </w:rPr>
      </w:pPr>
    </w:p>
    <w:tbl>
      <w:tblPr>
        <w:tblW w:w="0" w:type="auto"/>
        <w:jc w:val="center"/>
        <w:tblCellMar>
          <w:left w:w="0" w:type="dxa"/>
          <w:right w:w="0" w:type="dxa"/>
        </w:tblCellMar>
        <w:tblLook w:val="04A0" w:firstRow="1" w:lastRow="0" w:firstColumn="1" w:lastColumn="0" w:noHBand="0" w:noVBand="1"/>
      </w:tblPr>
      <w:tblGrid>
        <w:gridCol w:w="1335"/>
        <w:gridCol w:w="1335"/>
        <w:gridCol w:w="1335"/>
      </w:tblGrid>
      <w:tr w:rsidR="009D0845" w:rsidRPr="009D0845" w14:paraId="109BD716" w14:textId="77777777" w:rsidTr="009D0845">
        <w:trPr>
          <w:trHeight w:val="210"/>
          <w:jc w:val="center"/>
        </w:trPr>
        <w:tc>
          <w:tcPr>
            <w:tcW w:w="13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B6A2497" w14:textId="77777777" w:rsidR="009D0845" w:rsidRPr="009D0845" w:rsidRDefault="009D0845" w:rsidP="009D0845">
            <w:r w:rsidRPr="009D0845">
              <w:rPr>
                <w:rFonts w:ascii="PingFang SC" w:eastAsia="PingFang SC" w:hAnsi="PingFang SC" w:hint="eastAsia"/>
                <w:b/>
                <w:bCs/>
                <w:color w:val="000000"/>
                <w:sz w:val="15"/>
                <w:szCs w:val="15"/>
              </w:rPr>
              <w:t>品种名</w:t>
            </w:r>
            <w:r w:rsidRPr="009D0845">
              <w:rPr>
                <w:rFonts w:ascii="Helvetica Neue" w:hAnsi="Helvetica Neue"/>
                <w:b/>
                <w:bCs/>
                <w:color w:val="000000"/>
                <w:sz w:val="15"/>
                <w:szCs w:val="15"/>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20AB090" w14:textId="77777777" w:rsidR="009D0845" w:rsidRPr="009D0845" w:rsidRDefault="009D0845" w:rsidP="009D0845">
            <w:r w:rsidRPr="009D0845">
              <w:rPr>
                <w:rFonts w:ascii="PingFang SC" w:eastAsia="PingFang SC" w:hAnsi="PingFang SC" w:hint="eastAsia"/>
                <w:b/>
                <w:bCs/>
                <w:color w:val="000000"/>
                <w:sz w:val="15"/>
                <w:szCs w:val="15"/>
              </w:rPr>
              <w:t>品种名</w:t>
            </w:r>
            <w:r w:rsidRPr="009D0845">
              <w:rPr>
                <w:rFonts w:ascii="Helvetica Neue" w:hAnsi="Helvetica Neue"/>
                <w:b/>
                <w:bCs/>
                <w:color w:val="000000"/>
                <w:sz w:val="15"/>
                <w:szCs w:val="15"/>
              </w:rPr>
              <w:t>2</w:t>
            </w:r>
          </w:p>
        </w:tc>
        <w:tc>
          <w:tcPr>
            <w:tcW w:w="13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F2459F4" w14:textId="77777777" w:rsidR="009D0845" w:rsidRPr="009D0845" w:rsidRDefault="009D0845" w:rsidP="009D0845">
            <w:r w:rsidRPr="009D0845">
              <w:rPr>
                <w:rFonts w:ascii="PingFang SC" w:eastAsia="PingFang SC" w:hAnsi="PingFang SC" w:hint="eastAsia"/>
                <w:b/>
                <w:bCs/>
                <w:color w:val="000000"/>
                <w:sz w:val="15"/>
                <w:szCs w:val="15"/>
              </w:rPr>
              <w:t>遗传相似性</w:t>
            </w:r>
          </w:p>
        </w:tc>
      </w:tr>
      <w:tr w:rsidR="009D0845" w:rsidRPr="009D0845" w14:paraId="364F205A" w14:textId="77777777" w:rsidTr="009D0845">
        <w:trPr>
          <w:trHeight w:val="195"/>
          <w:jc w:val="center"/>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971A9E" w14:textId="77777777" w:rsidR="009D0845" w:rsidRPr="009D0845" w:rsidRDefault="009D0845" w:rsidP="009D0845">
            <w:r w:rsidRPr="009D0845">
              <w:rPr>
                <w:rFonts w:ascii="PingFang SC" w:eastAsia="PingFang SC" w:hAnsi="PingFang SC" w:hint="eastAsia"/>
                <w:color w:val="000000"/>
                <w:sz w:val="15"/>
                <w:szCs w:val="15"/>
              </w:rPr>
              <w:t>黄广丝苗</w:t>
            </w:r>
            <w:r w:rsidRPr="009D0845">
              <w:rPr>
                <w:rFonts w:ascii="Helvetica Neue" w:hAnsi="Helvetica Neue"/>
                <w:color w:val="000000"/>
                <w:sz w:val="15"/>
                <w:szCs w:val="15"/>
              </w:rPr>
              <w:t> </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E4FF02" w14:textId="77777777" w:rsidR="009D0845" w:rsidRPr="009D0845" w:rsidRDefault="009D0845" w:rsidP="009D0845">
            <w:r w:rsidRPr="009D0845">
              <w:rPr>
                <w:rFonts w:ascii="PingFang SC" w:eastAsia="PingFang SC" w:hAnsi="PingFang SC" w:hint="eastAsia"/>
                <w:color w:val="000000"/>
                <w:sz w:val="15"/>
                <w:szCs w:val="15"/>
              </w:rPr>
              <w:t>五广丝苗</w:t>
            </w:r>
            <w:r w:rsidRPr="009D0845">
              <w:rPr>
                <w:rFonts w:ascii="Helvetica Neue" w:hAnsi="Helvetica Neue"/>
                <w:color w:val="000000"/>
                <w:sz w:val="15"/>
                <w:szCs w:val="15"/>
              </w:rPr>
              <w:t> </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17C0DF" w14:textId="77777777" w:rsidR="009D0845" w:rsidRPr="009D0845" w:rsidRDefault="009D0845" w:rsidP="009D0845">
            <w:r w:rsidRPr="009D0845">
              <w:rPr>
                <w:rFonts w:ascii="Helvetica Neue" w:hAnsi="Helvetica Neue"/>
                <w:color w:val="000000"/>
                <w:sz w:val="15"/>
                <w:szCs w:val="15"/>
              </w:rPr>
              <w:t>97.06%</w:t>
            </w:r>
          </w:p>
        </w:tc>
      </w:tr>
      <w:tr w:rsidR="009D0845" w:rsidRPr="009D0845" w14:paraId="3A9FBB19" w14:textId="77777777" w:rsidTr="009D0845">
        <w:trPr>
          <w:trHeight w:val="195"/>
          <w:jc w:val="center"/>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98E168" w14:textId="77777777" w:rsidR="009D0845" w:rsidRPr="009D0845" w:rsidRDefault="009D0845" w:rsidP="009D0845">
            <w:r w:rsidRPr="009D0845">
              <w:rPr>
                <w:rFonts w:ascii="PingFang SC" w:eastAsia="PingFang SC" w:hAnsi="PingFang SC" w:hint="eastAsia"/>
                <w:color w:val="000000"/>
                <w:sz w:val="15"/>
                <w:szCs w:val="15"/>
              </w:rPr>
              <w:t>黄广华占</w:t>
            </w:r>
            <w:r w:rsidRPr="009D0845">
              <w:rPr>
                <w:rFonts w:ascii="Helvetica Neue" w:hAnsi="Helvetica Neue"/>
                <w:color w:val="000000"/>
                <w:sz w:val="15"/>
                <w:szCs w:val="15"/>
              </w:rPr>
              <w:t>2</w:t>
            </w:r>
            <w:r w:rsidRPr="009D0845">
              <w:rPr>
                <w:rFonts w:ascii="PingFang SC" w:eastAsia="PingFang SC" w:hAnsi="PingFang SC" w:hint="eastAsia"/>
                <w:color w:val="000000"/>
                <w:sz w:val="15"/>
                <w:szCs w:val="15"/>
              </w:rPr>
              <w:t>号</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0C1BE9" w14:textId="77777777" w:rsidR="009D0845" w:rsidRPr="009D0845" w:rsidRDefault="009D0845" w:rsidP="009D0845">
            <w:r w:rsidRPr="009D0845">
              <w:rPr>
                <w:rFonts w:ascii="PingFang SC" w:eastAsia="PingFang SC" w:hAnsi="PingFang SC" w:hint="eastAsia"/>
                <w:color w:val="000000"/>
                <w:sz w:val="15"/>
                <w:szCs w:val="15"/>
              </w:rPr>
              <w:t>双黄占</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979E47" w14:textId="77777777" w:rsidR="009D0845" w:rsidRPr="009D0845" w:rsidRDefault="009D0845" w:rsidP="009D0845">
            <w:r w:rsidRPr="009D0845">
              <w:rPr>
                <w:rFonts w:ascii="Helvetica Neue" w:hAnsi="Helvetica Neue"/>
                <w:color w:val="000000"/>
                <w:sz w:val="15"/>
                <w:szCs w:val="15"/>
              </w:rPr>
              <w:t>97.43%</w:t>
            </w:r>
          </w:p>
        </w:tc>
      </w:tr>
      <w:tr w:rsidR="009D0845" w:rsidRPr="009D0845" w14:paraId="44CC3154" w14:textId="77777777" w:rsidTr="009D0845">
        <w:trPr>
          <w:trHeight w:val="210"/>
          <w:jc w:val="center"/>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D9757E" w14:textId="77777777" w:rsidR="009D0845" w:rsidRPr="009D0845" w:rsidRDefault="009D0845" w:rsidP="009D0845">
            <w:r w:rsidRPr="009D0845">
              <w:rPr>
                <w:rFonts w:ascii="PingFang SC" w:eastAsia="PingFang SC" w:hAnsi="PingFang SC" w:hint="eastAsia"/>
                <w:color w:val="000000"/>
                <w:sz w:val="15"/>
                <w:szCs w:val="15"/>
              </w:rPr>
              <w:t>黄丰占</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7D1A38" w14:textId="77777777" w:rsidR="009D0845" w:rsidRPr="009D0845" w:rsidRDefault="009D0845" w:rsidP="009D0845">
            <w:r w:rsidRPr="009D0845">
              <w:rPr>
                <w:rFonts w:ascii="PingFang SC" w:eastAsia="PingFang SC" w:hAnsi="PingFang SC" w:hint="eastAsia"/>
                <w:color w:val="000000"/>
                <w:sz w:val="15"/>
                <w:szCs w:val="15"/>
              </w:rPr>
              <w:t>茉莉软占</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63C012" w14:textId="77777777" w:rsidR="009D0845" w:rsidRPr="009D0845" w:rsidRDefault="009D0845" w:rsidP="009D0845">
            <w:r w:rsidRPr="009D0845">
              <w:rPr>
                <w:rFonts w:ascii="Helvetica Neue" w:hAnsi="Helvetica Neue"/>
                <w:color w:val="000000"/>
                <w:sz w:val="15"/>
                <w:szCs w:val="15"/>
              </w:rPr>
              <w:t>98.47%</w:t>
            </w:r>
          </w:p>
        </w:tc>
      </w:tr>
      <w:tr w:rsidR="009D0845" w:rsidRPr="009D0845" w14:paraId="79A9FCAE" w14:textId="77777777" w:rsidTr="009D0845">
        <w:trPr>
          <w:trHeight w:val="195"/>
          <w:jc w:val="center"/>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8D4598" w14:textId="77777777" w:rsidR="009D0845" w:rsidRPr="009D0845" w:rsidRDefault="009D0845" w:rsidP="009D0845">
            <w:r w:rsidRPr="009D0845">
              <w:rPr>
                <w:rFonts w:ascii="PingFang SC" w:eastAsia="PingFang SC" w:hAnsi="PingFang SC" w:hint="eastAsia"/>
                <w:color w:val="000000"/>
                <w:sz w:val="15"/>
                <w:szCs w:val="15"/>
              </w:rPr>
              <w:t>黄软丝苗</w:t>
            </w:r>
            <w:r w:rsidRPr="009D0845">
              <w:rPr>
                <w:rFonts w:ascii="Helvetica Neue" w:hAnsi="Helvetica Neue"/>
                <w:color w:val="000000"/>
                <w:sz w:val="15"/>
                <w:szCs w:val="15"/>
              </w:rPr>
              <w:t> </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B3CF82" w14:textId="77777777" w:rsidR="009D0845" w:rsidRPr="009D0845" w:rsidRDefault="009D0845" w:rsidP="009D0845">
            <w:r w:rsidRPr="009D0845">
              <w:rPr>
                <w:rFonts w:ascii="PingFang SC" w:eastAsia="PingFang SC" w:hAnsi="PingFang SC" w:hint="eastAsia"/>
                <w:color w:val="000000"/>
                <w:sz w:val="15"/>
                <w:szCs w:val="15"/>
              </w:rPr>
              <w:t>新黄油占</w:t>
            </w:r>
            <w:r w:rsidRPr="009D0845">
              <w:rPr>
                <w:rFonts w:ascii="Helvetica Neue" w:hAnsi="Helvetica Neue"/>
                <w:color w:val="000000"/>
                <w:sz w:val="15"/>
                <w:szCs w:val="15"/>
              </w:rPr>
              <w:t> </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2C684C" w14:textId="77777777" w:rsidR="009D0845" w:rsidRPr="009D0845" w:rsidRDefault="009D0845" w:rsidP="009D0845">
            <w:r w:rsidRPr="009D0845">
              <w:rPr>
                <w:rFonts w:ascii="Helvetica Neue" w:hAnsi="Helvetica Neue"/>
                <w:color w:val="000000"/>
                <w:sz w:val="15"/>
                <w:szCs w:val="15"/>
              </w:rPr>
              <w:t>97.77%</w:t>
            </w:r>
          </w:p>
        </w:tc>
      </w:tr>
      <w:tr w:rsidR="009D0845" w:rsidRPr="009D0845" w14:paraId="72F8024D" w14:textId="77777777" w:rsidTr="009D0845">
        <w:trPr>
          <w:trHeight w:val="210"/>
          <w:jc w:val="center"/>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4F8D95" w14:textId="77777777" w:rsidR="009D0845" w:rsidRPr="009D0845" w:rsidRDefault="009D0845" w:rsidP="009D0845">
            <w:r w:rsidRPr="009D0845">
              <w:rPr>
                <w:rFonts w:ascii="PingFang SC" w:eastAsia="PingFang SC" w:hAnsi="PingFang SC" w:hint="eastAsia"/>
                <w:color w:val="000000"/>
                <w:sz w:val="15"/>
                <w:szCs w:val="15"/>
              </w:rPr>
              <w:t>黄广农占</w:t>
            </w:r>
            <w:r w:rsidRPr="009D0845">
              <w:rPr>
                <w:rFonts w:ascii="Helvetica Neue" w:hAnsi="Helvetica Neue"/>
                <w:color w:val="000000"/>
                <w:sz w:val="15"/>
                <w:szCs w:val="15"/>
              </w:rPr>
              <w:t> </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F75609" w14:textId="77777777" w:rsidR="009D0845" w:rsidRPr="009D0845" w:rsidRDefault="009D0845" w:rsidP="009D0845">
            <w:r w:rsidRPr="009D0845">
              <w:rPr>
                <w:rFonts w:ascii="PingFang SC" w:eastAsia="PingFang SC" w:hAnsi="PingFang SC" w:hint="eastAsia"/>
                <w:color w:val="000000"/>
                <w:sz w:val="15"/>
                <w:szCs w:val="15"/>
              </w:rPr>
              <w:t>黄广油占</w:t>
            </w:r>
            <w:r w:rsidRPr="009D0845">
              <w:rPr>
                <w:rFonts w:ascii="Helvetica Neue" w:hAnsi="Helvetica Neue"/>
                <w:color w:val="000000"/>
                <w:sz w:val="15"/>
                <w:szCs w:val="15"/>
              </w:rPr>
              <w:t> </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AC66FE" w14:textId="77777777" w:rsidR="009D0845" w:rsidRPr="009D0845" w:rsidRDefault="009D0845" w:rsidP="009D0845">
            <w:r w:rsidRPr="009D0845">
              <w:rPr>
                <w:rFonts w:ascii="Helvetica Neue" w:hAnsi="Helvetica Neue"/>
                <w:color w:val="000000"/>
                <w:sz w:val="15"/>
                <w:szCs w:val="15"/>
              </w:rPr>
              <w:t>97.27%</w:t>
            </w:r>
          </w:p>
        </w:tc>
      </w:tr>
      <w:tr w:rsidR="009D0845" w:rsidRPr="009D0845" w14:paraId="112BF38F" w14:textId="77777777" w:rsidTr="009D0845">
        <w:trPr>
          <w:trHeight w:val="195"/>
          <w:jc w:val="center"/>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7D309F" w14:textId="77777777" w:rsidR="009D0845" w:rsidRPr="009D0845" w:rsidRDefault="009D0845" w:rsidP="009D0845">
            <w:r w:rsidRPr="009D0845">
              <w:rPr>
                <w:rFonts w:ascii="PingFang SC" w:eastAsia="PingFang SC" w:hAnsi="PingFang SC" w:hint="eastAsia"/>
                <w:color w:val="000000"/>
                <w:sz w:val="15"/>
                <w:szCs w:val="15"/>
              </w:rPr>
              <w:t>黄秀丝苗</w:t>
            </w:r>
            <w:r w:rsidRPr="009D0845">
              <w:rPr>
                <w:rFonts w:ascii="Helvetica Neue" w:hAnsi="Helvetica Neue"/>
                <w:color w:val="000000"/>
                <w:sz w:val="15"/>
                <w:szCs w:val="15"/>
              </w:rPr>
              <w:t> </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BF05C5" w14:textId="77777777" w:rsidR="009D0845" w:rsidRPr="009D0845" w:rsidRDefault="009D0845" w:rsidP="009D0845">
            <w:r w:rsidRPr="009D0845">
              <w:rPr>
                <w:rFonts w:ascii="PingFang SC" w:eastAsia="PingFang SC" w:hAnsi="PingFang SC" w:hint="eastAsia"/>
                <w:color w:val="000000"/>
                <w:sz w:val="15"/>
                <w:szCs w:val="15"/>
              </w:rPr>
              <w:t>黄粤丝苗</w:t>
            </w:r>
            <w:r w:rsidRPr="009D0845">
              <w:rPr>
                <w:rFonts w:ascii="Helvetica Neue" w:hAnsi="Helvetica Neue"/>
                <w:color w:val="000000"/>
                <w:sz w:val="15"/>
                <w:szCs w:val="15"/>
              </w:rPr>
              <w:t> </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4D57BE" w14:textId="77777777" w:rsidR="009D0845" w:rsidRPr="009D0845" w:rsidRDefault="009D0845" w:rsidP="009D0845">
            <w:r w:rsidRPr="009D0845">
              <w:rPr>
                <w:rFonts w:ascii="Helvetica Neue" w:hAnsi="Helvetica Neue"/>
                <w:color w:val="000000"/>
                <w:sz w:val="15"/>
                <w:szCs w:val="15"/>
              </w:rPr>
              <w:t>98.61%</w:t>
            </w:r>
          </w:p>
        </w:tc>
      </w:tr>
      <w:tr w:rsidR="009D0845" w:rsidRPr="009D0845" w14:paraId="2F11AB5F" w14:textId="77777777" w:rsidTr="009D0845">
        <w:trPr>
          <w:trHeight w:val="195"/>
          <w:jc w:val="center"/>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2B7F34" w14:textId="77777777" w:rsidR="009D0845" w:rsidRPr="009D0845" w:rsidRDefault="009D0845" w:rsidP="009D0845">
            <w:r w:rsidRPr="009D0845">
              <w:rPr>
                <w:rFonts w:ascii="PingFang SC" w:eastAsia="PingFang SC" w:hAnsi="PingFang SC" w:hint="eastAsia"/>
                <w:color w:val="000000"/>
                <w:sz w:val="15"/>
                <w:szCs w:val="15"/>
              </w:rPr>
              <w:t>黄广华占</w:t>
            </w:r>
            <w:r w:rsidRPr="009D0845">
              <w:rPr>
                <w:rFonts w:ascii="Helvetica Neue" w:hAnsi="Helvetica Neue"/>
                <w:color w:val="000000"/>
                <w:sz w:val="15"/>
                <w:szCs w:val="15"/>
              </w:rPr>
              <w:t>2</w:t>
            </w:r>
            <w:r w:rsidRPr="009D0845">
              <w:rPr>
                <w:rFonts w:ascii="PingFang SC" w:eastAsia="PingFang SC" w:hAnsi="PingFang SC" w:hint="eastAsia"/>
                <w:color w:val="000000"/>
                <w:sz w:val="15"/>
                <w:szCs w:val="15"/>
              </w:rPr>
              <w:t>号</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BBC7F4" w14:textId="77777777" w:rsidR="009D0845" w:rsidRPr="009D0845" w:rsidRDefault="009D0845" w:rsidP="009D0845">
            <w:r w:rsidRPr="009D0845">
              <w:rPr>
                <w:rFonts w:ascii="PingFang SC" w:eastAsia="PingFang SC" w:hAnsi="PingFang SC" w:hint="eastAsia"/>
                <w:color w:val="000000"/>
                <w:sz w:val="15"/>
                <w:szCs w:val="15"/>
              </w:rPr>
              <w:t>黄广太占</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F2C238" w14:textId="77777777" w:rsidR="009D0845" w:rsidRPr="009D0845" w:rsidRDefault="009D0845" w:rsidP="009D0845">
            <w:r w:rsidRPr="009D0845">
              <w:rPr>
                <w:rFonts w:ascii="Helvetica Neue" w:hAnsi="Helvetica Neue"/>
                <w:color w:val="000000"/>
                <w:sz w:val="15"/>
                <w:szCs w:val="15"/>
              </w:rPr>
              <w:t>97.64%</w:t>
            </w:r>
          </w:p>
        </w:tc>
      </w:tr>
      <w:tr w:rsidR="009D0845" w:rsidRPr="009D0845" w14:paraId="46D6B9F8" w14:textId="77777777" w:rsidTr="009D0845">
        <w:trPr>
          <w:trHeight w:val="210"/>
          <w:jc w:val="center"/>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E82ADC" w14:textId="77777777" w:rsidR="009D0845" w:rsidRPr="009D0845" w:rsidRDefault="009D0845" w:rsidP="009D0845">
            <w:r w:rsidRPr="009D0845">
              <w:rPr>
                <w:rFonts w:ascii="PingFang SC" w:eastAsia="PingFang SC" w:hAnsi="PingFang SC" w:hint="eastAsia"/>
                <w:color w:val="000000"/>
                <w:sz w:val="15"/>
                <w:szCs w:val="15"/>
              </w:rPr>
              <w:t>五山莉占</w:t>
            </w:r>
            <w:r w:rsidRPr="009D0845">
              <w:rPr>
                <w:rFonts w:ascii="Helvetica Neue" w:hAnsi="Helvetica Neue"/>
                <w:color w:val="000000"/>
                <w:sz w:val="15"/>
                <w:szCs w:val="15"/>
              </w:rPr>
              <w:t> </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C1217A" w14:textId="77777777" w:rsidR="009D0845" w:rsidRPr="009D0845" w:rsidRDefault="009D0845" w:rsidP="009D0845">
            <w:r w:rsidRPr="009D0845">
              <w:rPr>
                <w:rFonts w:ascii="PingFang SC" w:eastAsia="PingFang SC" w:hAnsi="PingFang SC" w:hint="eastAsia"/>
                <w:color w:val="000000"/>
                <w:sz w:val="15"/>
                <w:szCs w:val="15"/>
              </w:rPr>
              <w:t>五山美占</w:t>
            </w:r>
            <w:r w:rsidRPr="009D0845">
              <w:rPr>
                <w:rFonts w:ascii="Helvetica Neue" w:hAnsi="Helvetica Neue"/>
                <w:color w:val="000000"/>
                <w:sz w:val="15"/>
                <w:szCs w:val="15"/>
              </w:rPr>
              <w:t> </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2DF9D8" w14:textId="77777777" w:rsidR="009D0845" w:rsidRPr="009D0845" w:rsidRDefault="009D0845" w:rsidP="009D0845">
            <w:r w:rsidRPr="009D0845">
              <w:rPr>
                <w:rFonts w:ascii="Helvetica Neue" w:hAnsi="Helvetica Neue"/>
                <w:color w:val="000000"/>
                <w:sz w:val="15"/>
                <w:szCs w:val="15"/>
              </w:rPr>
              <w:t>99.64%</w:t>
            </w:r>
          </w:p>
        </w:tc>
      </w:tr>
    </w:tbl>
    <w:p w14:paraId="411287AF" w14:textId="77777777" w:rsidR="00405D80" w:rsidRPr="00E14275" w:rsidRDefault="00405D80">
      <w:pPr>
        <w:rPr>
          <w:rFonts w:ascii="仿宋" w:eastAsia="仿宋" w:hAnsi="仿宋"/>
        </w:rPr>
      </w:pPr>
    </w:p>
    <w:p w14:paraId="4D8AE60A" w14:textId="77777777" w:rsidR="002917C4" w:rsidRPr="00E14275" w:rsidRDefault="002917C4">
      <w:pPr>
        <w:rPr>
          <w:rFonts w:ascii="仿宋" w:eastAsia="仿宋" w:hAnsi="仿宋"/>
        </w:rPr>
      </w:pPr>
    </w:p>
    <w:p w14:paraId="1FE80DEF" w14:textId="0C230DA7" w:rsidR="00975266" w:rsidRPr="00975266" w:rsidRDefault="002C3843" w:rsidP="00F63C36">
      <w:pPr>
        <w:rPr>
          <w:rFonts w:ascii="仿宋" w:eastAsia="仿宋" w:hAnsi="仿宋"/>
          <w:b/>
          <w:bCs/>
        </w:rPr>
      </w:pPr>
      <w:r w:rsidRPr="002C3843">
        <w:rPr>
          <w:rFonts w:ascii="仿宋" w:eastAsia="仿宋" w:hAnsi="仿宋" w:hint="eastAsia"/>
          <w:b/>
          <w:bCs/>
        </w:rPr>
        <w:t>测试</w:t>
      </w:r>
      <w:r w:rsidR="00743ADA" w:rsidRPr="00975266">
        <w:rPr>
          <w:rFonts w:ascii="仿宋" w:eastAsia="仿宋" w:hAnsi="仿宋" w:hint="eastAsia"/>
          <w:b/>
          <w:bCs/>
        </w:rPr>
        <w:t>样本二：</w:t>
      </w:r>
    </w:p>
    <w:p w14:paraId="230FD266" w14:textId="0067CAEC" w:rsidR="00F63C36" w:rsidRPr="00E14275" w:rsidRDefault="00F63C36" w:rsidP="00975266">
      <w:pPr>
        <w:ind w:firstLine="420"/>
        <w:rPr>
          <w:rFonts w:ascii="仿宋" w:eastAsia="仿宋" w:hAnsi="仿宋"/>
        </w:rPr>
      </w:pPr>
      <w:r w:rsidRPr="00E14275">
        <w:rPr>
          <w:rFonts w:ascii="仿宋" w:eastAsia="仿宋" w:hAnsi="仿宋"/>
        </w:rPr>
        <w:t>本样本集共包含53份粳稻近等基因系材料，均以同一</w:t>
      </w:r>
      <w:r w:rsidR="00E41E41">
        <w:rPr>
          <w:rFonts w:ascii="仿宋" w:eastAsia="仿宋" w:hAnsi="仿宋"/>
        </w:rPr>
        <w:t>品种</w:t>
      </w:r>
      <w:r w:rsidR="008E1A76" w:rsidRPr="008E1A76">
        <w:rPr>
          <w:rFonts w:ascii="仿宋" w:eastAsia="仿宋" w:hAnsi="仿宋" w:hint="eastAsia"/>
        </w:rPr>
        <w:t>YN818</w:t>
      </w:r>
      <w:r w:rsidR="008E1A76">
        <w:rPr>
          <w:rFonts w:ascii="仿宋" w:eastAsia="仿宋" w:hAnsi="仿宋" w:hint="eastAsia"/>
        </w:rPr>
        <w:t>作为</w:t>
      </w:r>
      <w:r w:rsidRPr="00E14275">
        <w:rPr>
          <w:rFonts w:ascii="仿宋" w:eastAsia="仿宋" w:hAnsi="仿宋"/>
        </w:rPr>
        <w:t xml:space="preserve">供体亲本，通过回交导入至三组不同的轮回亲本背景构建获得。三组轮回亲本分别为 YN20、YN108 和 YN301，其中 YN20 与 YN301 为育种姐妹系。所有回交代次均在 </w:t>
      </w:r>
      <w:r w:rsidR="008E1A76">
        <w:rPr>
          <w:rFonts w:ascii="仿宋" w:eastAsia="仿宋" w:hAnsi="仿宋" w:hint="eastAsia"/>
        </w:rPr>
        <w:t>6</w:t>
      </w:r>
      <w:r w:rsidRPr="00E14275">
        <w:rPr>
          <w:rFonts w:ascii="仿宋" w:eastAsia="仿宋" w:hAnsi="仿宋"/>
        </w:rPr>
        <w:t>代以上，材料内部经 SSR指纹一致性检测，个体间表型差异极小，符合实质性衍生品种（EDV）的基本判定标准。</w:t>
      </w:r>
    </w:p>
    <w:p w14:paraId="1720FBAC" w14:textId="0150CFE5" w:rsidR="00F63C36" w:rsidRPr="00E14275" w:rsidRDefault="00F63C36" w:rsidP="008A3A36">
      <w:pPr>
        <w:ind w:firstLineChars="200" w:firstLine="480"/>
        <w:rPr>
          <w:rFonts w:ascii="仿宋" w:eastAsia="仿宋" w:hAnsi="仿宋"/>
        </w:rPr>
      </w:pPr>
      <w:r w:rsidRPr="00E14275">
        <w:rPr>
          <w:rFonts w:ascii="仿宋" w:eastAsia="仿宋" w:hAnsi="仿宋"/>
        </w:rPr>
        <w:t>在遗传相似性分析中，同一轮回亲本背景下的样本对遗传相似性（GS）均大于98%</w:t>
      </w:r>
      <w:r w:rsidRPr="00E14275">
        <w:rPr>
          <w:rFonts w:ascii="仿宋" w:eastAsia="仿宋" w:hAnsi="仿宋" w:hint="eastAsia"/>
        </w:rPr>
        <w:t>（图）</w:t>
      </w:r>
      <w:r w:rsidRPr="00E14275">
        <w:rPr>
          <w:rFonts w:ascii="仿宋" w:eastAsia="仿宋" w:hAnsi="仿宋"/>
        </w:rPr>
        <w:t>，支持其作为EDV关系的判定依据。将YN108背景样本分别与YN20及YN301背景样本比较，其GS值均低于92%</w:t>
      </w:r>
      <w:r w:rsidRPr="00E14275">
        <w:rPr>
          <w:rFonts w:ascii="仿宋" w:eastAsia="仿宋" w:hAnsi="仿宋" w:hint="eastAsia"/>
        </w:rPr>
        <w:t>（图）</w:t>
      </w:r>
      <w:r w:rsidRPr="00E14275">
        <w:rPr>
          <w:rFonts w:ascii="仿宋" w:eastAsia="仿宋" w:hAnsi="仿宋"/>
        </w:rPr>
        <w:t>，表明当前设定的EDV判定阈值能够有效区分不同遗传背景的材料，具备良好的区分能力。但由于YN20与YN301为姐妹系，其背景间遗传关系高度接近，导致两组样本之间难以通过GS值进一步区分，体现出该阈值在极高相似度样本间的判别边界特性。</w:t>
      </w:r>
    </w:p>
    <w:p w14:paraId="24846848" w14:textId="2D4CF820" w:rsidR="007803E5" w:rsidRPr="00E14275" w:rsidRDefault="00F63C36" w:rsidP="002917C4">
      <w:pPr>
        <w:jc w:val="center"/>
        <w:rPr>
          <w:rFonts w:ascii="仿宋" w:eastAsia="仿宋" w:hAnsi="仿宋"/>
        </w:rPr>
      </w:pPr>
      <w:r w:rsidRPr="00E14275">
        <w:rPr>
          <w:rFonts w:ascii="仿宋" w:eastAsia="仿宋" w:hAnsi="仿宋"/>
          <w:noProof/>
        </w:rPr>
        <w:lastRenderedPageBreak/>
        <w:drawing>
          <wp:inline distT="0" distB="0" distL="0" distR="0" wp14:anchorId="7CD7B4FE" wp14:editId="19C0CF1D">
            <wp:extent cx="4835347" cy="2336754"/>
            <wp:effectExtent l="0" t="0" r="3810" b="635"/>
            <wp:docPr id="1975988611" name="图片 1" descr="图形用户界面, 图表,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88611" name="图片 1" descr="图形用户界面, 图表, 应用程序&#10;&#10;AI 生成的内容可能不正确。"/>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1175" cy="2344403"/>
                    </a:xfrm>
                    <a:prstGeom prst="rect">
                      <a:avLst/>
                    </a:prstGeom>
                  </pic:spPr>
                </pic:pic>
              </a:graphicData>
            </a:graphic>
          </wp:inline>
        </w:drawing>
      </w:r>
    </w:p>
    <w:p w14:paraId="0E2F9B2A" w14:textId="159C809C" w:rsidR="00D72835" w:rsidRDefault="00F63C36" w:rsidP="00BC6972">
      <w:pPr>
        <w:jc w:val="center"/>
        <w:rPr>
          <w:rFonts w:ascii="仿宋" w:eastAsia="仿宋" w:hAnsi="仿宋"/>
        </w:rPr>
      </w:pPr>
      <w:r w:rsidRPr="00E14275">
        <w:rPr>
          <w:rFonts w:ascii="仿宋" w:eastAsia="仿宋" w:hAnsi="仿宋" w:hint="eastAsia"/>
        </w:rPr>
        <w:t>图：近等基因系不同轮回亲本内部</w:t>
      </w:r>
      <w:r w:rsidR="002917C4" w:rsidRPr="00E14275">
        <w:rPr>
          <w:rFonts w:ascii="仿宋" w:eastAsia="仿宋" w:hAnsi="仿宋" w:hint="eastAsia"/>
        </w:rPr>
        <w:t>、不同轮回亲本背景间的样本遗传相似性分布。</w:t>
      </w:r>
    </w:p>
    <w:p w14:paraId="58493C27" w14:textId="5E12C444" w:rsidR="00BC6972" w:rsidRDefault="00BC6972" w:rsidP="00D72835">
      <w:pPr>
        <w:ind w:firstLine="420"/>
        <w:rPr>
          <w:rFonts w:ascii="仿宋" w:eastAsia="仿宋" w:hAnsi="仿宋"/>
        </w:rPr>
      </w:pPr>
    </w:p>
    <w:p w14:paraId="072B9D6E" w14:textId="2225CE7F" w:rsidR="00D72835" w:rsidRPr="00E14275" w:rsidRDefault="00D72835" w:rsidP="00D72835">
      <w:pPr>
        <w:ind w:firstLine="420"/>
        <w:rPr>
          <w:rFonts w:ascii="仿宋" w:eastAsia="仿宋" w:hAnsi="仿宋"/>
        </w:rPr>
      </w:pPr>
      <w:r>
        <w:rPr>
          <w:rFonts w:ascii="仿宋" w:eastAsia="仿宋" w:hAnsi="仿宋" w:hint="eastAsia"/>
        </w:rPr>
        <w:t>不同轮回亲本内部的，子代个体</w:t>
      </w:r>
      <w:r w:rsidR="00BC6972">
        <w:rPr>
          <w:rFonts w:ascii="仿宋" w:eastAsia="仿宋" w:hAnsi="仿宋" w:hint="eastAsia"/>
        </w:rPr>
        <w:t>与</w:t>
      </w:r>
      <w:r>
        <w:rPr>
          <w:rFonts w:ascii="仿宋" w:eastAsia="仿宋" w:hAnsi="仿宋" w:hint="eastAsia"/>
        </w:rPr>
        <w:t>轮回亲本的遗传差异位点集中在部分区域上。</w:t>
      </w:r>
    </w:p>
    <w:p w14:paraId="52B34D25" w14:textId="79672D67" w:rsidR="00C003A5" w:rsidRDefault="00D72835">
      <w:pPr>
        <w:rPr>
          <w:rFonts w:ascii="仿宋" w:eastAsia="仿宋" w:hAnsi="仿宋"/>
        </w:rPr>
      </w:pPr>
      <w:r w:rsidRPr="00D72835">
        <w:rPr>
          <w:rFonts w:ascii="仿宋" w:eastAsia="仿宋" w:hAnsi="仿宋"/>
          <w:noProof/>
        </w:rPr>
        <w:drawing>
          <wp:inline distT="0" distB="0" distL="0" distR="0" wp14:anchorId="0645BFA2" wp14:editId="3D0EEECD">
            <wp:extent cx="5274310" cy="2369820"/>
            <wp:effectExtent l="0" t="0" r="0" b="5080"/>
            <wp:docPr id="15784688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68887" name=""/>
                    <pic:cNvPicPr/>
                  </pic:nvPicPr>
                  <pic:blipFill>
                    <a:blip r:embed="rId15"/>
                    <a:stretch>
                      <a:fillRect/>
                    </a:stretch>
                  </pic:blipFill>
                  <pic:spPr>
                    <a:xfrm>
                      <a:off x="0" y="0"/>
                      <a:ext cx="5274310" cy="2369820"/>
                    </a:xfrm>
                    <a:prstGeom prst="rect">
                      <a:avLst/>
                    </a:prstGeom>
                  </pic:spPr>
                </pic:pic>
              </a:graphicData>
            </a:graphic>
          </wp:inline>
        </w:drawing>
      </w:r>
    </w:p>
    <w:p w14:paraId="7444964C" w14:textId="66EB469D" w:rsidR="00D72835" w:rsidRDefault="00D72835" w:rsidP="00D72835">
      <w:pPr>
        <w:jc w:val="center"/>
        <w:rPr>
          <w:rFonts w:ascii="仿宋" w:eastAsia="仿宋" w:hAnsi="仿宋"/>
        </w:rPr>
      </w:pPr>
      <w:r>
        <w:rPr>
          <w:rFonts w:ascii="仿宋" w:eastAsia="仿宋" w:hAnsi="仿宋" w:hint="eastAsia"/>
        </w:rPr>
        <w:t>图：轮回亲本子代与轮回亲本的差异SNP分布</w:t>
      </w:r>
      <w:r w:rsidR="00BC6972">
        <w:rPr>
          <w:rFonts w:ascii="仿宋" w:eastAsia="仿宋" w:hAnsi="仿宋" w:hint="eastAsia"/>
        </w:rPr>
        <w:t>，每个差异SNP以蓝色竖线在基因组上显示。</w:t>
      </w:r>
    </w:p>
    <w:p w14:paraId="04A01490" w14:textId="77777777" w:rsidR="00D72835" w:rsidRPr="00E14275" w:rsidRDefault="00D72835">
      <w:pPr>
        <w:rPr>
          <w:rFonts w:ascii="仿宋" w:eastAsia="仿宋" w:hAnsi="仿宋"/>
        </w:rPr>
      </w:pPr>
    </w:p>
    <w:p w14:paraId="4B32A11C" w14:textId="7C1263C0" w:rsidR="00975266" w:rsidRDefault="002C3843">
      <w:pPr>
        <w:rPr>
          <w:rFonts w:ascii="仿宋" w:eastAsia="仿宋" w:hAnsi="仿宋"/>
        </w:rPr>
      </w:pPr>
      <w:r w:rsidRPr="002C3843">
        <w:rPr>
          <w:rFonts w:ascii="仿宋" w:eastAsia="仿宋" w:hAnsi="仿宋" w:hint="eastAsia"/>
        </w:rPr>
        <w:t>测试</w:t>
      </w:r>
      <w:r w:rsidR="009B74CD" w:rsidRPr="00E14275">
        <w:rPr>
          <w:rFonts w:ascii="仿宋" w:eastAsia="仿宋" w:hAnsi="仿宋" w:hint="eastAsia"/>
        </w:rPr>
        <w:t>样本三：</w:t>
      </w:r>
    </w:p>
    <w:p w14:paraId="5CE7EE37" w14:textId="693FAF3D" w:rsidR="009B74CD" w:rsidRPr="00E14275" w:rsidRDefault="002917C4" w:rsidP="00975266">
      <w:pPr>
        <w:ind w:firstLine="420"/>
        <w:rPr>
          <w:rFonts w:ascii="仿宋" w:eastAsia="仿宋" w:hAnsi="仿宋"/>
        </w:rPr>
      </w:pPr>
      <w:r w:rsidRPr="00E14275">
        <w:rPr>
          <w:rFonts w:ascii="仿宋" w:eastAsia="仿宋" w:hAnsi="仿宋"/>
        </w:rPr>
        <w:t>本样本集包括 177份</w:t>
      </w:r>
      <w:proofErr w:type="spellStart"/>
      <w:r w:rsidRPr="00E14275">
        <w:rPr>
          <w:rFonts w:ascii="仿宋" w:eastAsia="仿宋" w:hAnsi="仿宋"/>
        </w:rPr>
        <w:t>Kitaake</w:t>
      </w:r>
      <w:proofErr w:type="spellEnd"/>
      <w:r w:rsidRPr="00E14275">
        <w:rPr>
          <w:rFonts w:ascii="仿宋" w:eastAsia="仿宋" w:hAnsi="仿宋"/>
        </w:rPr>
        <w:t>粳稻品种经种子辐照处理后的杂交后代材料，属于常规定义下的实质性衍生品种体系。遗传相似性分析结果显示，该样本集内SNP位点相似性高度集中，GS值普遍超过99%，表明其遗传结构高度同质化，符合EDV的判定标准，适合作为典型EDV群体样本使用。</w:t>
      </w:r>
    </w:p>
    <w:p w14:paraId="233C0C87" w14:textId="628D82D5" w:rsidR="005550C9" w:rsidRPr="00E14275" w:rsidRDefault="002917C4" w:rsidP="002917C4">
      <w:pPr>
        <w:jc w:val="center"/>
        <w:rPr>
          <w:rFonts w:ascii="仿宋" w:eastAsia="仿宋" w:hAnsi="仿宋"/>
        </w:rPr>
      </w:pPr>
      <w:r w:rsidRPr="00E14275">
        <w:rPr>
          <w:rFonts w:ascii="仿宋" w:eastAsia="仿宋" w:hAnsi="仿宋"/>
          <w:noProof/>
        </w:rPr>
        <w:drawing>
          <wp:inline distT="0" distB="0" distL="0" distR="0" wp14:anchorId="69E11865" wp14:editId="64A7F076">
            <wp:extent cx="3284525" cy="1240891"/>
            <wp:effectExtent l="0" t="0" r="5080" b="3810"/>
            <wp:docPr id="1427160416" name="图片 2"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60416" name="图片 2" descr="表格&#10;&#10;AI 生成的内容可能不正确。"/>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4782" cy="1256100"/>
                    </a:xfrm>
                    <a:prstGeom prst="rect">
                      <a:avLst/>
                    </a:prstGeom>
                  </pic:spPr>
                </pic:pic>
              </a:graphicData>
            </a:graphic>
          </wp:inline>
        </w:drawing>
      </w:r>
    </w:p>
    <w:p w14:paraId="3578D24E" w14:textId="61089427" w:rsidR="00C003A5" w:rsidRPr="00E14275" w:rsidRDefault="00C003A5" w:rsidP="00C003A5">
      <w:pPr>
        <w:jc w:val="center"/>
        <w:rPr>
          <w:rFonts w:ascii="仿宋" w:eastAsia="仿宋" w:hAnsi="仿宋"/>
        </w:rPr>
      </w:pPr>
      <w:r w:rsidRPr="00E14275">
        <w:rPr>
          <w:rFonts w:ascii="仿宋" w:eastAsia="仿宋" w:hAnsi="仿宋" w:hint="eastAsia"/>
        </w:rPr>
        <w:lastRenderedPageBreak/>
        <w:t>图：辐照样本间遗传相似性分布。</w:t>
      </w:r>
    </w:p>
    <w:p w14:paraId="1CCDD05E" w14:textId="77777777" w:rsidR="00205C71" w:rsidRPr="00E14275" w:rsidRDefault="00205C71">
      <w:pPr>
        <w:rPr>
          <w:rFonts w:ascii="仿宋" w:eastAsia="仿宋" w:hAnsi="仿宋"/>
        </w:rPr>
      </w:pPr>
    </w:p>
    <w:p w14:paraId="2CB95C50" w14:textId="68704961" w:rsidR="00205C71" w:rsidRPr="00975266" w:rsidRDefault="00975266" w:rsidP="00205C71">
      <w:pPr>
        <w:rPr>
          <w:rFonts w:ascii="仿宋" w:eastAsia="仿宋" w:hAnsi="仿宋"/>
          <w:b/>
          <w:bCs/>
        </w:rPr>
      </w:pPr>
      <w:r w:rsidRPr="00975266">
        <w:rPr>
          <w:rFonts w:ascii="仿宋" w:eastAsia="仿宋" w:hAnsi="仿宋" w:hint="eastAsia"/>
          <w:b/>
          <w:bCs/>
        </w:rPr>
        <w:t xml:space="preserve">3. </w:t>
      </w:r>
      <w:r w:rsidR="00205C71" w:rsidRPr="00975266">
        <w:rPr>
          <w:rFonts w:ascii="仿宋" w:eastAsia="仿宋" w:hAnsi="仿宋" w:hint="eastAsia"/>
          <w:b/>
          <w:bCs/>
        </w:rPr>
        <w:t>关键技术内容确定的依据：</w:t>
      </w:r>
    </w:p>
    <w:p w14:paraId="420CFB77" w14:textId="1E797A7E" w:rsidR="00205C71" w:rsidRPr="00975266" w:rsidRDefault="00205C71">
      <w:pPr>
        <w:rPr>
          <w:rFonts w:ascii="仿宋" w:eastAsia="仿宋" w:hAnsi="仿宋"/>
          <w:b/>
          <w:bCs/>
        </w:rPr>
      </w:pPr>
      <w:r w:rsidRPr="00975266">
        <w:rPr>
          <w:rFonts w:ascii="仿宋" w:eastAsia="仿宋" w:hAnsi="仿宋" w:hint="eastAsia"/>
          <w:b/>
          <w:bCs/>
        </w:rPr>
        <w:t>（1）适用品种范围：</w:t>
      </w:r>
    </w:p>
    <w:p w14:paraId="4AC6B567" w14:textId="7D01638E" w:rsidR="00205C71" w:rsidRPr="00E14275" w:rsidRDefault="00205C71" w:rsidP="00975266">
      <w:pPr>
        <w:ind w:firstLine="420"/>
        <w:rPr>
          <w:rFonts w:ascii="仿宋" w:eastAsia="仿宋" w:hAnsi="仿宋"/>
        </w:rPr>
      </w:pPr>
      <w:r w:rsidRPr="00E14275">
        <w:rPr>
          <w:rFonts w:ascii="仿宋" w:eastAsia="仿宋" w:hAnsi="仿宋" w:hint="eastAsia"/>
        </w:rPr>
        <w:t>实质性派生品种（EDV）除派生过程产生的差异外，与原始品种基因型或基因型组合控制的基本性状相同，即遗传背景相同或近似、个别性状有差异的纯系。本标准基线制定基于水稻籼、粳品种基础，其适用范围为籼、粳背景的水稻品种。</w:t>
      </w:r>
    </w:p>
    <w:p w14:paraId="3B24D966" w14:textId="44176C55" w:rsidR="00205C71" w:rsidRPr="00975266" w:rsidRDefault="00EA68AF">
      <w:pPr>
        <w:rPr>
          <w:rFonts w:ascii="仿宋" w:eastAsia="仿宋" w:hAnsi="仿宋"/>
          <w:b/>
          <w:bCs/>
        </w:rPr>
      </w:pPr>
      <w:r w:rsidRPr="00975266">
        <w:rPr>
          <w:rFonts w:ascii="仿宋" w:eastAsia="仿宋" w:hAnsi="仿宋" w:hint="eastAsia"/>
          <w:b/>
          <w:bCs/>
        </w:rPr>
        <w:t>（2）样本采集：</w:t>
      </w:r>
    </w:p>
    <w:p w14:paraId="5EF0B88D" w14:textId="36BC0214" w:rsidR="006814CA" w:rsidRPr="00E14275" w:rsidRDefault="00EA68AF" w:rsidP="00975266">
      <w:pPr>
        <w:ind w:firstLine="420"/>
        <w:rPr>
          <w:rFonts w:ascii="仿宋" w:eastAsia="仿宋" w:hAnsi="仿宋"/>
        </w:rPr>
      </w:pPr>
      <w:r w:rsidRPr="00E14275">
        <w:rPr>
          <w:rFonts w:ascii="仿宋" w:eastAsia="仿宋" w:hAnsi="仿宋"/>
        </w:rPr>
        <w:t>水稻</w:t>
      </w:r>
      <w:r w:rsidR="006814CA" w:rsidRPr="00E14275">
        <w:rPr>
          <w:rFonts w:ascii="仿宋" w:eastAsia="仿宋" w:hAnsi="仿宋"/>
        </w:rPr>
        <w:t>常规自交品种在品种内遗传背景一致性较高，适合采用混合取样的方式进行样品构建。对于此类材料，建议从30个健康、表型一致的植株中取样混合建库，可充分代表品种的整体遗传特征，</w:t>
      </w:r>
      <w:r w:rsidR="006814CA" w:rsidRPr="00E14275">
        <w:rPr>
          <w:rFonts w:ascii="仿宋" w:eastAsia="仿宋" w:hAnsi="仿宋" w:hint="eastAsia"/>
        </w:rPr>
        <w:t>对于自交品种，</w:t>
      </w:r>
      <w:r w:rsidRPr="00E14275">
        <w:rPr>
          <w:rFonts w:ascii="仿宋" w:eastAsia="仿宋" w:hAnsi="仿宋" w:hint="eastAsia"/>
        </w:rPr>
        <w:t>本</w:t>
      </w:r>
      <w:r w:rsidRPr="00E14275">
        <w:rPr>
          <w:rFonts w:ascii="仿宋" w:eastAsia="仿宋" w:hAnsi="仿宋"/>
        </w:rPr>
        <w:t>标准建议：从30个健康且生长一致的单株植株中，分别取样后混合建库，用于测序分析，该方式在保证代表性的同时具备良好的操作性。对于品种内存在明显杂合或异质性的特殊材料，应根据实际情况增加个体数目或采用个体取样方式进行评估。</w:t>
      </w:r>
    </w:p>
    <w:p w14:paraId="67A43631" w14:textId="65A88C0F" w:rsidR="00E14990" w:rsidRPr="00975266" w:rsidRDefault="003E5CE5" w:rsidP="00E14990">
      <w:pPr>
        <w:rPr>
          <w:rFonts w:ascii="仿宋" w:eastAsia="仿宋" w:hAnsi="仿宋"/>
          <w:b/>
          <w:bCs/>
        </w:rPr>
      </w:pPr>
      <w:r w:rsidRPr="00975266">
        <w:rPr>
          <w:rFonts w:ascii="仿宋" w:eastAsia="仿宋" w:hAnsi="仿宋" w:hint="eastAsia"/>
          <w:b/>
          <w:bCs/>
        </w:rPr>
        <w:t>（</w:t>
      </w:r>
      <w:r w:rsidR="006814CA" w:rsidRPr="00975266">
        <w:rPr>
          <w:rFonts w:ascii="仿宋" w:eastAsia="仿宋" w:hAnsi="仿宋" w:hint="eastAsia"/>
          <w:b/>
          <w:bCs/>
        </w:rPr>
        <w:t>3</w:t>
      </w:r>
      <w:r w:rsidRPr="00975266">
        <w:rPr>
          <w:rFonts w:ascii="仿宋" w:eastAsia="仿宋" w:hAnsi="仿宋" w:hint="eastAsia"/>
          <w:b/>
          <w:bCs/>
        </w:rPr>
        <w:t>）测序平台</w:t>
      </w:r>
      <w:r w:rsidR="00975266">
        <w:rPr>
          <w:rFonts w:ascii="仿宋" w:eastAsia="仿宋" w:hAnsi="仿宋" w:hint="eastAsia"/>
          <w:b/>
          <w:bCs/>
        </w:rPr>
        <w:t>：</w:t>
      </w:r>
    </w:p>
    <w:p w14:paraId="548899E3" w14:textId="0E1210A4" w:rsidR="00EA68AF" w:rsidRPr="00E14275" w:rsidRDefault="00EA68AF">
      <w:pPr>
        <w:rPr>
          <w:rFonts w:ascii="仿宋" w:eastAsia="仿宋" w:hAnsi="仿宋"/>
        </w:rPr>
      </w:pPr>
      <w:r w:rsidRPr="00E14275">
        <w:rPr>
          <w:rFonts w:ascii="仿宋" w:eastAsia="仿宋" w:hAnsi="仿宋"/>
        </w:rPr>
        <w:t>目前已有多项研究表明，主流二代测序（NGS）平台在数据质量与平台稳定性方面表现一致，华大（MGI）平台与Illumina平台在数据稳定性及碱基组成特征上无显著差异（参见：https://doi.org/10.1093/gigascience/gix049，https://doi.org/10.1038/s41587-023-01934-1）。综合考虑平台的通用性和操作便捷性，本标准推荐采用MGI或Illumina测序平台。</w:t>
      </w:r>
    </w:p>
    <w:p w14:paraId="624E67CA" w14:textId="66151A59" w:rsidR="003E5CE5" w:rsidRPr="00975266" w:rsidRDefault="003E5CE5">
      <w:pPr>
        <w:rPr>
          <w:rFonts w:ascii="仿宋" w:eastAsia="仿宋" w:hAnsi="仿宋"/>
          <w:b/>
          <w:bCs/>
        </w:rPr>
      </w:pPr>
      <w:r w:rsidRPr="00975266">
        <w:rPr>
          <w:rFonts w:ascii="仿宋" w:eastAsia="仿宋" w:hAnsi="仿宋" w:hint="eastAsia"/>
          <w:b/>
          <w:bCs/>
        </w:rPr>
        <w:t>（</w:t>
      </w:r>
      <w:r w:rsidR="006814CA" w:rsidRPr="00975266">
        <w:rPr>
          <w:rFonts w:ascii="仿宋" w:eastAsia="仿宋" w:hAnsi="仿宋" w:hint="eastAsia"/>
          <w:b/>
          <w:bCs/>
        </w:rPr>
        <w:t>4</w:t>
      </w:r>
      <w:r w:rsidRPr="00975266">
        <w:rPr>
          <w:rFonts w:ascii="仿宋" w:eastAsia="仿宋" w:hAnsi="仿宋" w:hint="eastAsia"/>
          <w:b/>
          <w:bCs/>
        </w:rPr>
        <w:t>）质量要求</w:t>
      </w:r>
      <w:r w:rsidR="00975266">
        <w:rPr>
          <w:rFonts w:ascii="仿宋" w:eastAsia="仿宋" w:hAnsi="仿宋" w:hint="eastAsia"/>
          <w:b/>
          <w:bCs/>
        </w:rPr>
        <w:t>：</w:t>
      </w:r>
    </w:p>
    <w:p w14:paraId="219EBDC4" w14:textId="52A0C011" w:rsidR="00EA68AF" w:rsidRPr="00E14275" w:rsidRDefault="00EA68AF" w:rsidP="00975266">
      <w:pPr>
        <w:ind w:firstLine="420"/>
        <w:rPr>
          <w:rFonts w:ascii="仿宋" w:eastAsia="仿宋" w:hAnsi="仿宋"/>
        </w:rPr>
      </w:pPr>
      <w:r w:rsidRPr="00E14275">
        <w:rPr>
          <w:rFonts w:ascii="仿宋" w:eastAsia="仿宋" w:hAnsi="仿宋"/>
        </w:rPr>
        <w:t>Q30比例应不低于85%，即测序碱基中错误率低于0.1%的碱基比例应高于85%</w:t>
      </w:r>
      <w:r w:rsidRPr="00E14275">
        <w:rPr>
          <w:rFonts w:ascii="仿宋" w:eastAsia="仿宋" w:hAnsi="仿宋" w:hint="eastAsia"/>
        </w:rPr>
        <w:t>，该参数为</w:t>
      </w:r>
      <w:r w:rsidRPr="00E14275">
        <w:rPr>
          <w:rFonts w:ascii="仿宋" w:eastAsia="仿宋" w:hAnsi="仿宋"/>
        </w:rPr>
        <w:t>MGI或Illumina测序平台</w:t>
      </w:r>
      <w:r w:rsidRPr="00E14275">
        <w:rPr>
          <w:rFonts w:ascii="仿宋" w:eastAsia="仿宋" w:hAnsi="仿宋" w:hint="eastAsia"/>
        </w:rPr>
        <w:t>文档中推荐测序质量参数。</w:t>
      </w:r>
    </w:p>
    <w:p w14:paraId="593F15C9" w14:textId="5FAFAB60" w:rsidR="003E5CE5" w:rsidRPr="00975266" w:rsidRDefault="003E5CE5">
      <w:pPr>
        <w:rPr>
          <w:rFonts w:ascii="仿宋" w:eastAsia="仿宋" w:hAnsi="仿宋"/>
          <w:b/>
          <w:bCs/>
        </w:rPr>
      </w:pPr>
      <w:r w:rsidRPr="00975266">
        <w:rPr>
          <w:rFonts w:ascii="仿宋" w:eastAsia="仿宋" w:hAnsi="仿宋" w:hint="eastAsia"/>
          <w:b/>
          <w:bCs/>
        </w:rPr>
        <w:t>（</w:t>
      </w:r>
      <w:r w:rsidR="006814CA" w:rsidRPr="00975266">
        <w:rPr>
          <w:rFonts w:ascii="仿宋" w:eastAsia="仿宋" w:hAnsi="仿宋" w:hint="eastAsia"/>
          <w:b/>
          <w:bCs/>
        </w:rPr>
        <w:t>5</w:t>
      </w:r>
      <w:r w:rsidRPr="00975266">
        <w:rPr>
          <w:rFonts w:ascii="仿宋" w:eastAsia="仿宋" w:hAnsi="仿宋" w:hint="eastAsia"/>
          <w:b/>
          <w:bCs/>
        </w:rPr>
        <w:t>）测序深度：</w:t>
      </w:r>
    </w:p>
    <w:p w14:paraId="14A6054A" w14:textId="5C73274E" w:rsidR="00EA68AF" w:rsidRPr="00E14275" w:rsidRDefault="00EA68AF" w:rsidP="00975266">
      <w:pPr>
        <w:ind w:firstLine="420"/>
        <w:rPr>
          <w:rFonts w:ascii="仿宋" w:eastAsia="仿宋" w:hAnsi="仿宋"/>
        </w:rPr>
      </w:pPr>
      <w:r w:rsidRPr="00E14275">
        <w:rPr>
          <w:rFonts w:ascii="仿宋" w:eastAsia="仿宋" w:hAnsi="仿宋"/>
        </w:rPr>
        <w:t>参考人类基因组二倍体SNP检测的测序深度要求，已有研究表明，30×测序深度即可实现SNP位点的饱和检测（https://doi.org/10.1038/nature07517）。为验证该深度在水稻中的适用性，我们对一例水稻样本进行了超高深度测序（&gt;200×），并随机抽取不同数量的reads进行SNP检测。结果显示，随着覆盖度提高，可鉴定的panel中有效SNP位点数逐步增加；当基因组平均覆盖度达到约30×时，能够被有效检测（具备足够reads支持）的SNP位点数量趋于饱和。因此，本标准建议样本的测序深度不少于30×，以保证高质量的SNP检测结果。</w:t>
      </w:r>
    </w:p>
    <w:p w14:paraId="447E076A" w14:textId="7BF5300D" w:rsidR="00205C71" w:rsidRPr="00E14275" w:rsidRDefault="003E5CE5" w:rsidP="00975266">
      <w:pPr>
        <w:jc w:val="center"/>
        <w:rPr>
          <w:rFonts w:ascii="仿宋" w:eastAsia="仿宋" w:hAnsi="仿宋"/>
        </w:rPr>
      </w:pPr>
      <w:r w:rsidRPr="00E14275">
        <w:rPr>
          <w:rFonts w:ascii="仿宋" w:eastAsia="仿宋" w:hAnsi="仿宋"/>
          <w:noProof/>
        </w:rPr>
        <w:drawing>
          <wp:inline distT="0" distB="0" distL="0" distR="0" wp14:anchorId="09FA506A" wp14:editId="056C9E52">
            <wp:extent cx="3613709" cy="1556688"/>
            <wp:effectExtent l="0" t="0" r="0" b="5715"/>
            <wp:docPr id="69619627" name="图片 1" descr="绿色的灯光&#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9627" name="图片 1" descr="绿色的灯光&#10;&#10;AI 生成的内容可能不正确。"/>
                    <pic:cNvPicPr/>
                  </pic:nvPicPr>
                  <pic:blipFill>
                    <a:blip r:embed="rId17"/>
                    <a:stretch>
                      <a:fillRect/>
                    </a:stretch>
                  </pic:blipFill>
                  <pic:spPr>
                    <a:xfrm>
                      <a:off x="0" y="0"/>
                      <a:ext cx="3630055" cy="1563729"/>
                    </a:xfrm>
                    <a:prstGeom prst="rect">
                      <a:avLst/>
                    </a:prstGeom>
                  </pic:spPr>
                </pic:pic>
              </a:graphicData>
            </a:graphic>
          </wp:inline>
        </w:drawing>
      </w:r>
    </w:p>
    <w:p w14:paraId="5E685E8E" w14:textId="6FE248BA" w:rsidR="00430818" w:rsidRPr="00975266" w:rsidRDefault="006814CA">
      <w:pPr>
        <w:rPr>
          <w:rFonts w:ascii="仿宋" w:eastAsia="仿宋" w:hAnsi="仿宋"/>
          <w:b/>
          <w:bCs/>
        </w:rPr>
      </w:pPr>
      <w:r w:rsidRPr="00975266">
        <w:rPr>
          <w:rFonts w:ascii="仿宋" w:eastAsia="仿宋" w:hAnsi="仿宋" w:hint="eastAsia"/>
          <w:b/>
          <w:bCs/>
        </w:rPr>
        <w:t>（6）</w:t>
      </w:r>
      <w:r w:rsidR="00430818" w:rsidRPr="00975266">
        <w:rPr>
          <w:rFonts w:ascii="仿宋" w:eastAsia="仿宋" w:hAnsi="仿宋" w:hint="eastAsia"/>
          <w:b/>
          <w:bCs/>
        </w:rPr>
        <w:t>关于本标准的实验室条件和技术操作要求</w:t>
      </w:r>
    </w:p>
    <w:p w14:paraId="610A9E91" w14:textId="6F72077A" w:rsidR="003E38EB" w:rsidRPr="00E14275" w:rsidRDefault="003E38EB" w:rsidP="00975266">
      <w:pPr>
        <w:ind w:firstLine="420"/>
        <w:rPr>
          <w:rFonts w:ascii="仿宋" w:eastAsia="仿宋" w:hAnsi="仿宋"/>
        </w:rPr>
      </w:pPr>
      <w:r w:rsidRPr="00E14275">
        <w:rPr>
          <w:rFonts w:ascii="仿宋" w:eastAsia="仿宋" w:hAnsi="仿宋"/>
        </w:rPr>
        <w:t>本标准要求样品处理、DNA提取、文库构建及高通量测序等关键步骤，应在具备污染防控能力的实验室中进行，实验流程须按单一方向依次完成，避免样</w:t>
      </w:r>
      <w:r w:rsidRPr="00E14275">
        <w:rPr>
          <w:rFonts w:ascii="仿宋" w:eastAsia="仿宋" w:hAnsi="仿宋"/>
        </w:rPr>
        <w:lastRenderedPageBreak/>
        <w:t>品交叉污染。各操作环节应设置在物理隔离或功能明确的区域内，不得混用操作空间；各区域使用的仪器设备应专用，且定期清洁与维护。</w:t>
      </w:r>
    </w:p>
    <w:p w14:paraId="013BC5B4" w14:textId="2EEEAE80" w:rsidR="00430818" w:rsidRPr="00E14275" w:rsidRDefault="003E38EB" w:rsidP="00975266">
      <w:pPr>
        <w:ind w:firstLine="420"/>
        <w:rPr>
          <w:rFonts w:ascii="仿宋" w:eastAsia="仿宋" w:hAnsi="仿宋"/>
        </w:rPr>
      </w:pPr>
      <w:r w:rsidRPr="00E14275">
        <w:rPr>
          <w:rFonts w:ascii="仿宋" w:eastAsia="仿宋" w:hAnsi="仿宋"/>
        </w:rPr>
        <w:t>实验室应具备良好的洁净环境，操作人员应遵循标准化操作规程，防止核酸扩增产物、试剂残留或气溶胶对样品造成干扰。上述要求参考并符合</w:t>
      </w:r>
      <w:r w:rsidR="00C8463A" w:rsidRPr="00E14275">
        <w:rPr>
          <w:rFonts w:ascii="仿宋" w:eastAsia="仿宋" w:hAnsi="仿宋"/>
        </w:rPr>
        <w:t>GB/T 27025</w:t>
      </w:r>
      <w:r w:rsidR="00C8463A" w:rsidRPr="00E14275">
        <w:rPr>
          <w:rFonts w:ascii="仿宋" w:eastAsia="仿宋" w:hAnsi="仿宋" w:hint="eastAsia"/>
        </w:rPr>
        <w:t>-</w:t>
      </w:r>
      <w:r w:rsidR="00C8463A" w:rsidRPr="00E14275">
        <w:rPr>
          <w:rFonts w:ascii="仿宋" w:eastAsia="仿宋" w:hAnsi="仿宋"/>
        </w:rPr>
        <w:t>2019</w:t>
      </w:r>
      <w:r w:rsidRPr="00E14275">
        <w:rPr>
          <w:rFonts w:ascii="仿宋" w:eastAsia="仿宋" w:hAnsi="仿宋"/>
        </w:rPr>
        <w:t>及相关国家标准的规定，确保检测</w:t>
      </w:r>
      <w:r w:rsidRPr="00E14275">
        <w:rPr>
          <w:rFonts w:ascii="仿宋" w:eastAsia="仿宋" w:hAnsi="仿宋" w:hint="eastAsia"/>
        </w:rPr>
        <w:t>结果的</w:t>
      </w:r>
      <w:r w:rsidRPr="00E14275">
        <w:rPr>
          <w:rFonts w:ascii="仿宋" w:eastAsia="仿宋" w:hAnsi="仿宋"/>
        </w:rPr>
        <w:t>准确性与可重复性。</w:t>
      </w:r>
      <w:r w:rsidR="00430818" w:rsidRPr="00E14275">
        <w:rPr>
          <w:rFonts w:ascii="仿宋" w:eastAsia="仿宋" w:hAnsi="仿宋" w:hint="eastAsia"/>
        </w:rPr>
        <w:t xml:space="preserve"> </w:t>
      </w:r>
    </w:p>
    <w:p w14:paraId="4CE10C1F" w14:textId="084167CD" w:rsidR="003E38EB" w:rsidRPr="00E14275" w:rsidRDefault="003E38EB" w:rsidP="00975266">
      <w:pPr>
        <w:ind w:firstLine="420"/>
        <w:rPr>
          <w:rFonts w:ascii="仿宋" w:eastAsia="仿宋" w:hAnsi="仿宋"/>
        </w:rPr>
      </w:pPr>
      <w:r w:rsidRPr="00E14275">
        <w:rPr>
          <w:rFonts w:ascii="仿宋" w:eastAsia="仿宋" w:hAnsi="仿宋" w:hint="eastAsia"/>
        </w:rPr>
        <w:t>上述要求为DNA制备及高通量测序实验室基本要求，标准实施可行性较为</w:t>
      </w:r>
      <w:r w:rsidR="00C8463A" w:rsidRPr="00E14275">
        <w:rPr>
          <w:rFonts w:ascii="仿宋" w:eastAsia="仿宋" w:hAnsi="仿宋" w:hint="eastAsia"/>
        </w:rPr>
        <w:t>成熟。</w:t>
      </w:r>
    </w:p>
    <w:p w14:paraId="22AEC153" w14:textId="4F4DBDB8" w:rsidR="006814CA" w:rsidRPr="00975266" w:rsidRDefault="006814CA" w:rsidP="006814CA">
      <w:pPr>
        <w:rPr>
          <w:rFonts w:ascii="仿宋" w:eastAsia="仿宋" w:hAnsi="仿宋"/>
          <w:b/>
          <w:bCs/>
        </w:rPr>
      </w:pPr>
      <w:r w:rsidRPr="00975266">
        <w:rPr>
          <w:rFonts w:ascii="仿宋" w:eastAsia="仿宋" w:hAnsi="仿宋" w:hint="eastAsia"/>
          <w:b/>
          <w:bCs/>
        </w:rPr>
        <w:t>（</w:t>
      </w:r>
      <w:r w:rsidR="00AF1764" w:rsidRPr="00975266">
        <w:rPr>
          <w:rFonts w:ascii="仿宋" w:eastAsia="仿宋" w:hAnsi="仿宋" w:hint="eastAsia"/>
          <w:b/>
          <w:bCs/>
        </w:rPr>
        <w:t>7</w:t>
      </w:r>
      <w:r w:rsidRPr="00975266">
        <w:rPr>
          <w:rFonts w:ascii="仿宋" w:eastAsia="仿宋" w:hAnsi="仿宋" w:hint="eastAsia"/>
          <w:b/>
          <w:bCs/>
        </w:rPr>
        <w:t>）</w:t>
      </w:r>
      <w:r w:rsidRPr="00975266">
        <w:rPr>
          <w:rFonts w:ascii="仿宋" w:eastAsia="仿宋" w:hAnsi="仿宋"/>
          <w:b/>
          <w:bCs/>
        </w:rPr>
        <w:t>基因型数据记录方式及参考序列</w:t>
      </w:r>
    </w:p>
    <w:p w14:paraId="70334F3D" w14:textId="671A42D9" w:rsidR="006814CA" w:rsidRPr="00E14275" w:rsidRDefault="006814CA" w:rsidP="00975266">
      <w:pPr>
        <w:ind w:firstLine="420"/>
        <w:rPr>
          <w:rFonts w:ascii="仿宋" w:eastAsia="仿宋" w:hAnsi="仿宋"/>
        </w:rPr>
      </w:pPr>
      <w:r w:rsidRPr="00E14275">
        <w:rPr>
          <w:rFonts w:ascii="仿宋" w:eastAsia="仿宋" w:hAnsi="仿宋"/>
        </w:rPr>
        <w:t>为确保数据一致性与可比性，基因型数据应基于统一的参考序列进行比对与注释。推荐使用国际公共数据库发布的高质量参考基因组版本，如IRGSP-1.0（</w:t>
      </w:r>
      <w:r w:rsidRPr="00E14275">
        <w:rPr>
          <w:rFonts w:ascii="仿宋" w:eastAsia="仿宋" w:hAnsi="仿宋" w:hint="eastAsia"/>
        </w:rPr>
        <w:t>NCBI序列编号</w:t>
      </w:r>
      <w:r w:rsidRPr="00E14275">
        <w:rPr>
          <w:rFonts w:ascii="仿宋" w:eastAsia="仿宋" w:hAnsi="仿宋"/>
        </w:rPr>
        <w:t>GCA_001433935.1）作为参考序列，编号与坐标统一采用该版本的染色体定位。</w:t>
      </w:r>
    </w:p>
    <w:p w14:paraId="2602DD92" w14:textId="56394B43" w:rsidR="006814CA" w:rsidRPr="00E14275" w:rsidRDefault="006814CA" w:rsidP="00975266">
      <w:pPr>
        <w:ind w:firstLine="420"/>
        <w:rPr>
          <w:rFonts w:ascii="仿宋" w:eastAsia="仿宋" w:hAnsi="仿宋"/>
        </w:rPr>
      </w:pPr>
      <w:r w:rsidRPr="00E14275">
        <w:rPr>
          <w:rFonts w:ascii="仿宋" w:eastAsia="仿宋" w:hAnsi="仿宋"/>
        </w:rPr>
        <w:t>基因型数据应以标准VCF格式（Variant Call Format）进行记录，并满足以下要求：</w:t>
      </w:r>
    </w:p>
    <w:p w14:paraId="52484F67" w14:textId="77777777" w:rsidR="006814CA" w:rsidRPr="00E14275" w:rsidRDefault="006814CA" w:rsidP="00975266">
      <w:pPr>
        <w:ind w:firstLine="420"/>
        <w:rPr>
          <w:rFonts w:ascii="仿宋" w:eastAsia="仿宋" w:hAnsi="仿宋"/>
        </w:rPr>
      </w:pPr>
      <w:r w:rsidRPr="00E14275">
        <w:rPr>
          <w:rFonts w:ascii="仿宋" w:eastAsia="仿宋" w:hAnsi="仿宋"/>
        </w:rPr>
        <w:t>位点信息包括染色体编号（Chr）、物理位置（Position）、参考等位基因（Ref）与变异等位基因（Alt）；</w:t>
      </w:r>
    </w:p>
    <w:p w14:paraId="7EB3B27E" w14:textId="6CF54B45" w:rsidR="006814CA" w:rsidRPr="00E14275" w:rsidRDefault="006814CA" w:rsidP="00975266">
      <w:pPr>
        <w:ind w:firstLine="420"/>
        <w:rPr>
          <w:rFonts w:ascii="仿宋" w:eastAsia="仿宋" w:hAnsi="仿宋"/>
        </w:rPr>
      </w:pPr>
      <w:r w:rsidRPr="00E14275">
        <w:rPr>
          <w:rFonts w:ascii="仿宋" w:eastAsia="仿宋" w:hAnsi="仿宋"/>
        </w:rPr>
        <w:t>样本基因型以“0/0”、“0/1”、“1/1”</w:t>
      </w:r>
      <w:r w:rsidR="004352BE" w:rsidRPr="00E14275">
        <w:rPr>
          <w:rFonts w:ascii="仿宋" w:eastAsia="仿宋" w:hAnsi="仿宋" w:hint="eastAsia"/>
        </w:rPr>
        <w:t>、“1</w:t>
      </w:r>
      <w:r w:rsidR="004352BE" w:rsidRPr="00E14275">
        <w:rPr>
          <w:rFonts w:ascii="仿宋" w:eastAsia="仿宋" w:hAnsi="仿宋"/>
        </w:rPr>
        <w:t>/2</w:t>
      </w:r>
      <w:r w:rsidR="004352BE" w:rsidRPr="00E14275">
        <w:rPr>
          <w:rFonts w:ascii="仿宋" w:eastAsia="仿宋" w:hAnsi="仿宋" w:hint="eastAsia"/>
        </w:rPr>
        <w:t>”、“</w:t>
      </w:r>
      <w:r w:rsidR="004352BE" w:rsidRPr="00E14275">
        <w:rPr>
          <w:rFonts w:ascii="仿宋" w:eastAsia="仿宋" w:hAnsi="仿宋"/>
        </w:rPr>
        <w:t>0/2</w:t>
      </w:r>
      <w:r w:rsidR="004352BE" w:rsidRPr="00E14275">
        <w:rPr>
          <w:rFonts w:ascii="仿宋" w:eastAsia="仿宋" w:hAnsi="仿宋" w:hint="eastAsia"/>
        </w:rPr>
        <w:t>”</w:t>
      </w:r>
      <w:r w:rsidRPr="00E14275">
        <w:rPr>
          <w:rFonts w:ascii="仿宋" w:eastAsia="仿宋" w:hAnsi="仿宋"/>
        </w:rPr>
        <w:t>等格式记录，其中数字“0”对应参考等位基因，“1”对应变异等位基因</w:t>
      </w:r>
      <w:r w:rsidR="004352BE" w:rsidRPr="00E14275">
        <w:rPr>
          <w:rFonts w:ascii="仿宋" w:eastAsia="仿宋" w:hAnsi="仿宋" w:hint="eastAsia"/>
        </w:rPr>
        <w:t>，“2”对应第二</w:t>
      </w:r>
      <w:r w:rsidR="004352BE" w:rsidRPr="00E14275">
        <w:rPr>
          <w:rFonts w:ascii="仿宋" w:eastAsia="仿宋" w:hAnsi="仿宋"/>
        </w:rPr>
        <w:t>变异等位基因</w:t>
      </w:r>
      <w:r w:rsidRPr="00E14275">
        <w:rPr>
          <w:rFonts w:ascii="仿宋" w:eastAsia="仿宋" w:hAnsi="仿宋" w:hint="eastAsia"/>
        </w:rPr>
        <w:t>；</w:t>
      </w:r>
    </w:p>
    <w:p w14:paraId="4ED3993D" w14:textId="77777777" w:rsidR="006814CA" w:rsidRPr="00E14275" w:rsidRDefault="006814CA" w:rsidP="00975266">
      <w:pPr>
        <w:ind w:firstLine="420"/>
        <w:rPr>
          <w:rFonts w:ascii="仿宋" w:eastAsia="仿宋" w:hAnsi="仿宋"/>
        </w:rPr>
      </w:pPr>
      <w:r w:rsidRPr="00E14275">
        <w:rPr>
          <w:rFonts w:ascii="仿宋" w:eastAsia="仿宋" w:hAnsi="仿宋"/>
        </w:rPr>
        <w:t>所有位点应以参考基因组为坐标基准，位点排序按染色体编号及位置从小到大排列；</w:t>
      </w:r>
    </w:p>
    <w:p w14:paraId="67791011" w14:textId="5037C75D" w:rsidR="006814CA" w:rsidRDefault="006814CA" w:rsidP="00975266">
      <w:pPr>
        <w:ind w:firstLine="420"/>
        <w:rPr>
          <w:rFonts w:ascii="仿宋" w:eastAsia="仿宋" w:hAnsi="仿宋"/>
        </w:rPr>
      </w:pPr>
      <w:r w:rsidRPr="00E14275">
        <w:rPr>
          <w:rFonts w:ascii="仿宋" w:eastAsia="仿宋" w:hAnsi="仿宋"/>
        </w:rPr>
        <w:t>不可识别位点或缺失数据应使用“./.”表示。</w:t>
      </w:r>
    </w:p>
    <w:p w14:paraId="1074AF69" w14:textId="77777777" w:rsidR="00975266" w:rsidRPr="00E14275" w:rsidRDefault="00975266" w:rsidP="00975266">
      <w:pPr>
        <w:ind w:firstLine="420"/>
        <w:rPr>
          <w:rFonts w:ascii="仿宋" w:eastAsia="仿宋" w:hAnsi="仿宋"/>
        </w:rPr>
      </w:pPr>
    </w:p>
    <w:p w14:paraId="003C8BCE" w14:textId="07B0DED1" w:rsidR="006A6CEF" w:rsidRPr="00975266" w:rsidRDefault="006A6CEF">
      <w:pPr>
        <w:rPr>
          <w:rFonts w:ascii="仿宋" w:eastAsia="仿宋" w:hAnsi="仿宋"/>
          <w:b/>
          <w:bCs/>
        </w:rPr>
      </w:pPr>
      <w:r w:rsidRPr="00975266">
        <w:rPr>
          <w:rFonts w:ascii="仿宋" w:eastAsia="仿宋" w:hAnsi="仿宋" w:hint="eastAsia"/>
          <w:b/>
          <w:bCs/>
        </w:rPr>
        <w:t>（8）遗传相似度计算</w:t>
      </w:r>
    </w:p>
    <w:p w14:paraId="45AA486A" w14:textId="4F5247B7" w:rsidR="006A6CEF" w:rsidRPr="00E14275" w:rsidRDefault="006A6CEF">
      <w:pPr>
        <w:rPr>
          <w:rFonts w:ascii="仿宋" w:eastAsia="仿宋" w:hAnsi="仿宋"/>
        </w:rPr>
      </w:pPr>
      <w:r w:rsidRPr="00E14275">
        <w:rPr>
          <w:rFonts w:ascii="仿宋" w:eastAsia="仿宋" w:hAnsi="仿宋"/>
        </w:rPr>
        <w:t>本标准中推荐了</w:t>
      </w:r>
      <w:r w:rsidRPr="00E14275">
        <w:rPr>
          <w:rFonts w:ascii="仿宋" w:eastAsia="仿宋" w:hAnsi="仿宋" w:hint="eastAsia"/>
        </w:rPr>
        <w:t>15772</w:t>
      </w:r>
      <w:r w:rsidRPr="00E14275">
        <w:rPr>
          <w:rFonts w:ascii="仿宋" w:eastAsia="仿宋" w:hAnsi="仿宋"/>
        </w:rPr>
        <w:t>个SNP位点组合，依据位点相似度给出鉴定意见。</w:t>
      </w:r>
    </w:p>
    <w:p w14:paraId="64473FAE" w14:textId="77777777" w:rsidR="006A6CEF" w:rsidRPr="00E14275" w:rsidRDefault="006A6CEF" w:rsidP="006A6CEF">
      <w:pPr>
        <w:pStyle w:val="af2"/>
        <w:ind w:firstLineChars="0" w:firstLine="0"/>
        <w:rPr>
          <w:rFonts w:ascii="仿宋" w:eastAsia="仿宋" w:hAnsi="仿宋" w:cstheme="minorBidi"/>
          <w:kern w:val="2"/>
          <w:sz w:val="24"/>
          <w:szCs w:val="24"/>
        </w:rPr>
      </w:pPr>
      <w:r w:rsidRPr="00E14275">
        <w:rPr>
          <w:rFonts w:ascii="仿宋" w:eastAsia="仿宋" w:hAnsi="仿宋" w:cstheme="minorBidi" w:hint="eastAsia"/>
          <w:kern w:val="2"/>
          <w:sz w:val="24"/>
          <w:szCs w:val="24"/>
        </w:rPr>
        <w:t>将送验样本与标准样品位点基因型成对比较，去除杂合位点后，位</w:t>
      </w:r>
      <w:r w:rsidRPr="00E14275">
        <w:rPr>
          <w:rFonts w:ascii="仿宋" w:eastAsia="仿宋" w:hAnsi="仿宋" w:cstheme="minorBidi"/>
          <w:kern w:val="2"/>
          <w:sz w:val="24"/>
          <w:szCs w:val="24"/>
        </w:rPr>
        <w:t>点相似度按公式（1）计算：</w:t>
      </w:r>
    </w:p>
    <w:p w14:paraId="1C62E75B" w14:textId="77777777" w:rsidR="006A6CEF" w:rsidRPr="00E14275" w:rsidRDefault="006A6CEF" w:rsidP="006A6CEF">
      <w:pPr>
        <w:tabs>
          <w:tab w:val="left" w:pos="2268"/>
        </w:tabs>
        <w:spacing w:beforeLines="50" w:before="156"/>
        <w:rPr>
          <w:rFonts w:ascii="仿宋" w:eastAsia="仿宋" w:hAnsi="仿宋"/>
        </w:rPr>
      </w:pPr>
      <w:r w:rsidRPr="00E14275">
        <w:rPr>
          <w:rFonts w:ascii="仿宋" w:eastAsia="仿宋" w:hAnsi="仿宋"/>
        </w:rPr>
        <w:tab/>
      </w:r>
      <m:oMath>
        <m:r>
          <w:rPr>
            <w:rFonts w:ascii="Cambria Math" w:eastAsia="仿宋" w:hAnsi="Cambria Math"/>
          </w:rPr>
          <m:t>GS</m:t>
        </m:r>
        <m:r>
          <m:rPr>
            <m:sty m:val="p"/>
          </m:rPr>
          <w:rPr>
            <w:rFonts w:ascii="Cambria Math" w:eastAsia="仿宋" w:hAnsi="Cambria Math"/>
          </w:rPr>
          <m:t>=</m:t>
        </m:r>
        <m:f>
          <m:fPr>
            <m:ctrlPr>
              <w:rPr>
                <w:rFonts w:ascii="Cambria Math" w:eastAsia="仿宋" w:hAnsi="Cambria Math"/>
              </w:rPr>
            </m:ctrlPr>
          </m:fPr>
          <m:num>
            <m:sSub>
              <m:sSubPr>
                <m:ctrlPr>
                  <w:rPr>
                    <w:rFonts w:ascii="Cambria Math" w:eastAsia="仿宋" w:hAnsi="Cambria Math"/>
                  </w:rPr>
                </m:ctrlPr>
              </m:sSubPr>
              <m:e>
                <m:r>
                  <m:rPr>
                    <m:sty m:val="p"/>
                  </m:rPr>
                  <w:rPr>
                    <w:rFonts w:ascii="Cambria Math" w:eastAsia="仿宋" w:hAnsi="Cambria Math"/>
                  </w:rPr>
                  <m:t>n</m:t>
                </m:r>
              </m:e>
              <m:sub>
                <m:r>
                  <w:rPr>
                    <w:rFonts w:ascii="Cambria Math" w:eastAsia="仿宋" w:hAnsi="Cambria Math"/>
                  </w:rPr>
                  <m:t>ij</m:t>
                </m:r>
              </m:sub>
            </m:sSub>
          </m:num>
          <m:den>
            <m:sSub>
              <m:sSubPr>
                <m:ctrlPr>
                  <w:rPr>
                    <w:rFonts w:ascii="Cambria Math" w:eastAsia="仿宋" w:hAnsi="Cambria Math"/>
                  </w:rPr>
                </m:ctrlPr>
              </m:sSubPr>
              <m:e>
                <m:r>
                  <w:rPr>
                    <w:rFonts w:ascii="Cambria Math" w:eastAsia="仿宋" w:hAnsi="Cambria Math"/>
                  </w:rPr>
                  <m:t>N</m:t>
                </m:r>
              </m:e>
              <m:sub>
                <m:r>
                  <w:rPr>
                    <w:rFonts w:ascii="Cambria Math" w:eastAsia="仿宋" w:hAnsi="Cambria Math"/>
                  </w:rPr>
                  <m:t>ij</m:t>
                </m:r>
              </m:sub>
            </m:sSub>
          </m:den>
        </m:f>
        <m:r>
          <m:rPr>
            <m:sty m:val="p"/>
          </m:rPr>
          <w:rPr>
            <w:rFonts w:ascii="Cambria Math" w:eastAsia="仿宋" w:hAnsi="Cambria Math"/>
          </w:rPr>
          <m:t>×100%</m:t>
        </m:r>
      </m:oMath>
      <w:r w:rsidRPr="00E14275">
        <w:rPr>
          <w:rFonts w:ascii="仿宋" w:eastAsia="仿宋" w:hAnsi="仿宋"/>
        </w:rPr>
        <w:t xml:space="preserve"> ........................................</w:t>
      </w:r>
      <w:r w:rsidRPr="00E14275">
        <w:rPr>
          <w:rFonts w:ascii="仿宋" w:eastAsia="仿宋" w:hAnsi="仿宋" w:hint="eastAsia"/>
        </w:rPr>
        <w:t>（1）</w:t>
      </w:r>
    </w:p>
    <w:p w14:paraId="19524C2D" w14:textId="77777777" w:rsidR="006A6CEF" w:rsidRPr="00E14275" w:rsidRDefault="006A6CEF" w:rsidP="006A6CEF">
      <w:pPr>
        <w:pStyle w:val="af2"/>
        <w:ind w:firstLineChars="0" w:firstLine="0"/>
        <w:rPr>
          <w:rFonts w:ascii="仿宋" w:eastAsia="仿宋" w:hAnsi="仿宋" w:cstheme="minorBidi"/>
          <w:kern w:val="2"/>
          <w:sz w:val="24"/>
          <w:szCs w:val="24"/>
        </w:rPr>
      </w:pPr>
      <w:r w:rsidRPr="00E14275">
        <w:rPr>
          <w:rFonts w:ascii="仿宋" w:eastAsia="仿宋" w:hAnsi="仿宋" w:cstheme="minorBidi"/>
          <w:kern w:val="2"/>
          <w:sz w:val="24"/>
          <w:szCs w:val="24"/>
        </w:rPr>
        <w:t>式中：</w:t>
      </w:r>
    </w:p>
    <w:p w14:paraId="05412415" w14:textId="77777777" w:rsidR="006A6CEF" w:rsidRPr="00975266" w:rsidRDefault="006A6CEF" w:rsidP="006A6CEF">
      <w:pPr>
        <w:pStyle w:val="af2"/>
        <w:ind w:firstLineChars="242" w:firstLine="532"/>
        <w:jc w:val="left"/>
        <w:rPr>
          <w:rFonts w:ascii="仿宋" w:eastAsia="仿宋" w:hAnsi="仿宋" w:cstheme="minorBidi"/>
          <w:kern w:val="2"/>
          <w:sz w:val="22"/>
          <w:szCs w:val="22"/>
        </w:rPr>
      </w:pPr>
      <m:oMath>
        <m:r>
          <w:rPr>
            <w:rFonts w:ascii="Cambria Math" w:eastAsia="仿宋" w:hAnsi="Cambria Math" w:cstheme="minorBidi"/>
            <w:kern w:val="2"/>
            <w:sz w:val="22"/>
            <w:szCs w:val="22"/>
          </w:rPr>
          <m:t>GS</m:t>
        </m:r>
      </m:oMath>
      <w:r w:rsidRPr="00975266">
        <w:rPr>
          <w:rFonts w:ascii="仿宋" w:eastAsia="仿宋" w:hAnsi="仿宋" w:cstheme="minorBidi"/>
          <w:kern w:val="2"/>
          <w:sz w:val="22"/>
          <w:szCs w:val="22"/>
        </w:rPr>
        <w:t>——</w:t>
      </w:r>
      <w:r w:rsidRPr="00975266">
        <w:rPr>
          <w:rFonts w:ascii="仿宋" w:eastAsia="仿宋" w:hAnsi="仿宋" w:cstheme="minorBidi" w:hint="eastAsia"/>
          <w:kern w:val="2"/>
          <w:sz w:val="22"/>
          <w:szCs w:val="22"/>
        </w:rPr>
        <w:t>待测品种与对照品种的遗传相似度；</w:t>
      </w:r>
    </w:p>
    <w:p w14:paraId="2F11E2EA" w14:textId="77777777" w:rsidR="006A6CEF" w:rsidRPr="00975266" w:rsidRDefault="00000000" w:rsidP="006A6CEF">
      <w:pPr>
        <w:pStyle w:val="af2"/>
        <w:ind w:firstLineChars="242" w:firstLine="532"/>
        <w:jc w:val="left"/>
        <w:rPr>
          <w:rFonts w:ascii="仿宋" w:eastAsia="仿宋" w:hAnsi="仿宋" w:cstheme="minorBidi"/>
          <w:kern w:val="2"/>
          <w:sz w:val="22"/>
          <w:szCs w:val="22"/>
        </w:rPr>
      </w:pPr>
      <m:oMath>
        <m:sSub>
          <m:sSubPr>
            <m:ctrlPr>
              <w:rPr>
                <w:rFonts w:ascii="Cambria Math" w:eastAsia="仿宋" w:hAnsi="Cambria Math" w:cstheme="minorBidi"/>
                <w:kern w:val="2"/>
                <w:sz w:val="22"/>
                <w:szCs w:val="22"/>
              </w:rPr>
            </m:ctrlPr>
          </m:sSubPr>
          <m:e>
            <m:r>
              <w:rPr>
                <w:rFonts w:ascii="Cambria Math" w:eastAsia="仿宋" w:hAnsi="Cambria Math" w:cstheme="minorBidi" w:hint="eastAsia"/>
                <w:kern w:val="2"/>
                <w:sz w:val="22"/>
                <w:szCs w:val="22"/>
              </w:rPr>
              <m:t>n</m:t>
            </m:r>
          </m:e>
          <m:sub>
            <m:r>
              <m:rPr>
                <m:sty m:val="p"/>
              </m:rPr>
              <w:rPr>
                <w:rFonts w:ascii="Cambria Math" w:eastAsia="仿宋" w:hAnsi="Cambria Math" w:cstheme="minorBidi" w:hint="eastAsia"/>
                <w:kern w:val="2"/>
                <w:sz w:val="22"/>
                <w:szCs w:val="22"/>
              </w:rPr>
              <m:t>ij</m:t>
            </m:r>
          </m:sub>
        </m:sSub>
      </m:oMath>
      <w:r w:rsidR="006A6CEF" w:rsidRPr="00975266">
        <w:rPr>
          <w:rFonts w:ascii="仿宋" w:eastAsia="仿宋" w:hAnsi="仿宋" w:cstheme="minorBidi"/>
          <w:kern w:val="2"/>
          <w:sz w:val="22"/>
          <w:szCs w:val="22"/>
        </w:rPr>
        <w:t>——</w:t>
      </w:r>
      <w:r w:rsidR="006A6CEF" w:rsidRPr="00975266">
        <w:rPr>
          <w:rFonts w:ascii="仿宋" w:eastAsia="仿宋" w:hAnsi="仿宋" w:cstheme="minorBidi" w:hint="eastAsia"/>
          <w:kern w:val="2"/>
          <w:sz w:val="22"/>
          <w:szCs w:val="22"/>
        </w:rPr>
        <w:t>待测品种与对照品种中均检出的但基因型无任何差异的标记位点的数目；</w:t>
      </w:r>
    </w:p>
    <w:p w14:paraId="5C3B0811" w14:textId="77777777" w:rsidR="006A6CEF" w:rsidRPr="00975266" w:rsidRDefault="00000000" w:rsidP="006A6CEF">
      <w:pPr>
        <w:pStyle w:val="af2"/>
        <w:ind w:firstLineChars="243" w:firstLine="535"/>
        <w:jc w:val="left"/>
        <w:rPr>
          <w:rFonts w:ascii="仿宋" w:eastAsia="仿宋" w:hAnsi="仿宋" w:cstheme="minorBidi"/>
          <w:kern w:val="2"/>
          <w:sz w:val="22"/>
          <w:szCs w:val="22"/>
        </w:rPr>
      </w:pPr>
      <m:oMath>
        <m:sSub>
          <m:sSubPr>
            <m:ctrlPr>
              <w:rPr>
                <w:rFonts w:ascii="Cambria Math" w:eastAsia="仿宋" w:hAnsi="Cambria Math" w:cstheme="minorBidi"/>
                <w:kern w:val="2"/>
                <w:sz w:val="22"/>
                <w:szCs w:val="22"/>
              </w:rPr>
            </m:ctrlPr>
          </m:sSubPr>
          <m:e>
            <m:r>
              <w:rPr>
                <w:rFonts w:ascii="Cambria Math" w:eastAsia="仿宋" w:hAnsi="Cambria Math" w:cstheme="minorBidi" w:hint="eastAsia"/>
                <w:kern w:val="2"/>
                <w:sz w:val="22"/>
                <w:szCs w:val="22"/>
              </w:rPr>
              <m:t>N</m:t>
            </m:r>
          </m:e>
          <m:sub>
            <m:r>
              <m:rPr>
                <m:sty m:val="p"/>
              </m:rPr>
              <w:rPr>
                <w:rFonts w:ascii="Cambria Math" w:eastAsia="仿宋" w:hAnsi="Cambria Math" w:cstheme="minorBidi" w:hint="eastAsia"/>
                <w:kern w:val="2"/>
                <w:sz w:val="22"/>
                <w:szCs w:val="22"/>
              </w:rPr>
              <m:t>i</m:t>
            </m:r>
            <m:r>
              <m:rPr>
                <m:sty m:val="p"/>
              </m:rPr>
              <w:rPr>
                <w:rFonts w:ascii="Cambria Math" w:eastAsia="仿宋" w:hAnsi="Cambria Math" w:cstheme="minorBidi"/>
                <w:kern w:val="2"/>
                <w:sz w:val="22"/>
                <w:szCs w:val="22"/>
              </w:rPr>
              <m:t>j</m:t>
            </m:r>
          </m:sub>
        </m:sSub>
      </m:oMath>
      <w:r w:rsidR="006A6CEF" w:rsidRPr="00975266">
        <w:rPr>
          <w:rFonts w:ascii="仿宋" w:eastAsia="仿宋" w:hAnsi="仿宋" w:cstheme="minorBidi"/>
          <w:kern w:val="2"/>
          <w:sz w:val="22"/>
          <w:szCs w:val="22"/>
        </w:rPr>
        <w:t>——</w:t>
      </w:r>
      <w:r w:rsidR="006A6CEF" w:rsidRPr="00975266">
        <w:rPr>
          <w:rFonts w:ascii="仿宋" w:eastAsia="仿宋" w:hAnsi="仿宋" w:cstheme="minorBidi" w:hint="eastAsia"/>
          <w:kern w:val="2"/>
          <w:sz w:val="22"/>
          <w:szCs w:val="22"/>
        </w:rPr>
        <w:t>待测品种与对照品种</w:t>
      </w:r>
      <w:r w:rsidR="006A6CEF" w:rsidRPr="00975266">
        <w:rPr>
          <w:rFonts w:ascii="仿宋" w:eastAsia="仿宋" w:hAnsi="仿宋" w:cstheme="minorBidi"/>
          <w:kern w:val="2"/>
          <w:sz w:val="22"/>
          <w:szCs w:val="22"/>
        </w:rPr>
        <w:t>中</w:t>
      </w:r>
      <w:r w:rsidR="006A6CEF" w:rsidRPr="00975266">
        <w:rPr>
          <w:rFonts w:ascii="仿宋" w:eastAsia="仿宋" w:hAnsi="仿宋" w:cstheme="minorBidi" w:hint="eastAsia"/>
          <w:kern w:val="2"/>
          <w:sz w:val="22"/>
          <w:szCs w:val="22"/>
        </w:rPr>
        <w:t>均</w:t>
      </w:r>
      <w:r w:rsidR="006A6CEF" w:rsidRPr="00975266">
        <w:rPr>
          <w:rFonts w:ascii="仿宋" w:eastAsia="仿宋" w:hAnsi="仿宋" w:cstheme="minorBidi"/>
          <w:kern w:val="2"/>
          <w:sz w:val="22"/>
          <w:szCs w:val="22"/>
        </w:rPr>
        <w:t>检出标记位点</w:t>
      </w:r>
      <w:r w:rsidR="006A6CEF" w:rsidRPr="00975266">
        <w:rPr>
          <w:rFonts w:ascii="仿宋" w:eastAsia="仿宋" w:hAnsi="仿宋" w:cstheme="minorBidi" w:hint="eastAsia"/>
          <w:kern w:val="2"/>
          <w:sz w:val="22"/>
          <w:szCs w:val="22"/>
        </w:rPr>
        <w:t>的</w:t>
      </w:r>
      <w:r w:rsidR="006A6CEF" w:rsidRPr="00975266">
        <w:rPr>
          <w:rFonts w:ascii="仿宋" w:eastAsia="仿宋" w:hAnsi="仿宋" w:cstheme="minorBidi"/>
          <w:kern w:val="2"/>
          <w:sz w:val="22"/>
          <w:szCs w:val="22"/>
        </w:rPr>
        <w:t>数目</w:t>
      </w:r>
      <w:r w:rsidR="006A6CEF" w:rsidRPr="00975266">
        <w:rPr>
          <w:rFonts w:ascii="仿宋" w:eastAsia="仿宋" w:hAnsi="仿宋" w:cstheme="minorBidi" w:hint="eastAsia"/>
          <w:kern w:val="2"/>
          <w:sz w:val="22"/>
          <w:szCs w:val="22"/>
        </w:rPr>
        <w:t>。</w:t>
      </w:r>
    </w:p>
    <w:p w14:paraId="22864AB9" w14:textId="77777777" w:rsidR="00CA3F10" w:rsidRPr="00E14275" w:rsidRDefault="00CA3F10">
      <w:pPr>
        <w:rPr>
          <w:rFonts w:ascii="仿宋" w:eastAsia="仿宋" w:hAnsi="仿宋"/>
        </w:rPr>
      </w:pPr>
    </w:p>
    <w:p w14:paraId="21463397" w14:textId="77777777" w:rsidR="00CA3F10" w:rsidRPr="00975266" w:rsidRDefault="00CA3F10" w:rsidP="004C063F">
      <w:pPr>
        <w:rPr>
          <w:rFonts w:ascii="仿宋" w:eastAsia="仿宋" w:hAnsi="仿宋"/>
          <w:b/>
          <w:bCs/>
        </w:rPr>
      </w:pPr>
      <w:r w:rsidRPr="00975266">
        <w:rPr>
          <w:rFonts w:ascii="仿宋" w:eastAsia="仿宋" w:hAnsi="仿宋"/>
          <w:b/>
          <w:bCs/>
        </w:rPr>
        <w:t>（</w:t>
      </w:r>
      <w:r w:rsidRPr="00975266">
        <w:rPr>
          <w:rFonts w:ascii="仿宋" w:eastAsia="仿宋" w:hAnsi="仿宋" w:hint="eastAsia"/>
          <w:b/>
          <w:bCs/>
        </w:rPr>
        <w:t>9</w:t>
      </w:r>
      <w:r w:rsidRPr="00975266">
        <w:rPr>
          <w:rFonts w:ascii="仿宋" w:eastAsia="仿宋" w:hAnsi="仿宋"/>
          <w:b/>
          <w:bCs/>
        </w:rPr>
        <w:t>）</w:t>
      </w:r>
      <w:r w:rsidRPr="00975266">
        <w:rPr>
          <w:rFonts w:ascii="仿宋" w:eastAsia="仿宋" w:hAnsi="仿宋" w:hint="eastAsia"/>
          <w:b/>
          <w:bCs/>
        </w:rPr>
        <w:t>判定阈值的选择</w:t>
      </w:r>
    </w:p>
    <w:p w14:paraId="09B6F963" w14:textId="10F832D1" w:rsidR="004C063F" w:rsidRPr="00E14275" w:rsidRDefault="004C063F" w:rsidP="00975266">
      <w:pPr>
        <w:ind w:firstLine="420"/>
        <w:rPr>
          <w:rFonts w:ascii="仿宋" w:eastAsia="仿宋" w:hAnsi="仿宋"/>
        </w:rPr>
      </w:pPr>
      <w:r w:rsidRPr="00E14275">
        <w:rPr>
          <w:rFonts w:ascii="仿宋" w:eastAsia="仿宋" w:hAnsi="仿宋"/>
        </w:rPr>
        <w:t>实质性派生品种（EDV）的判定，核心在于识别待测品种与已授权原始品种之间的遗传依赖关系。遗传相似性阈值的确定是关键判定依据之一。</w:t>
      </w:r>
    </w:p>
    <w:p w14:paraId="069176A2" w14:textId="0057DFB4" w:rsidR="004C063F" w:rsidRPr="00E14275" w:rsidRDefault="00975266" w:rsidP="00975266">
      <w:pPr>
        <w:ind w:firstLine="420"/>
        <w:rPr>
          <w:rFonts w:ascii="仿宋" w:eastAsia="仿宋" w:hAnsi="仿宋"/>
        </w:rPr>
      </w:pPr>
      <w:r>
        <w:rPr>
          <w:rFonts w:ascii="仿宋" w:eastAsia="仿宋" w:hAnsi="仿宋" w:hint="eastAsia"/>
        </w:rPr>
        <w:t>我们</w:t>
      </w:r>
      <w:r w:rsidR="004C063F" w:rsidRPr="00E14275">
        <w:rPr>
          <w:rFonts w:ascii="仿宋" w:eastAsia="仿宋" w:hAnsi="仿宋"/>
        </w:rPr>
        <w:t>考虑当前水稻育种实践中存在的广泛共用亲本、重复回交和材料共享现象，导致品种间在全基因组水平上高度趋同。此种遗传同质化趋势在多项研究中亦有反映，并已在国内《水稻品种及其实质性派生品种鉴定MNP标记法》中被初步考虑。</w:t>
      </w:r>
    </w:p>
    <w:p w14:paraId="658E9579" w14:textId="4289B19B" w:rsidR="004C063F" w:rsidRPr="00E14275" w:rsidRDefault="004C063F" w:rsidP="00975266">
      <w:pPr>
        <w:ind w:firstLine="420"/>
        <w:rPr>
          <w:rFonts w:ascii="仿宋" w:eastAsia="仿宋" w:hAnsi="仿宋"/>
        </w:rPr>
      </w:pPr>
      <w:r w:rsidRPr="00E14275">
        <w:rPr>
          <w:rFonts w:ascii="仿宋" w:eastAsia="仿宋" w:hAnsi="仿宋"/>
        </w:rPr>
        <w:t>此外，国际种子联盟（ISF）曾在玉米EDV争议处理指南中提出，当两个品种之间的基因型相似度超过91%时，可能存在实质性派生关系，应进一步验证</w:t>
      </w:r>
      <w:r w:rsidRPr="00E14275">
        <w:rPr>
          <w:rFonts w:ascii="仿宋" w:eastAsia="仿宋" w:hAnsi="仿宋"/>
        </w:rPr>
        <w:lastRenderedPageBreak/>
        <w:t>（ISF, 2014）。本标准借鉴该类国际经验，并结合水稻自身的遗传特征和国内已有应用数据</w:t>
      </w:r>
      <w:r w:rsidRPr="00E14275">
        <w:rPr>
          <w:rFonts w:ascii="仿宋" w:eastAsia="仿宋" w:hAnsi="仿宋" w:hint="eastAsia"/>
        </w:rPr>
        <w:t>和标准阈值，对阈值设定为92%～97%区区间。</w:t>
      </w:r>
    </w:p>
    <w:p w14:paraId="35D021B1" w14:textId="77777777" w:rsidR="00CA3F10" w:rsidRPr="00975266" w:rsidRDefault="00CA3F10" w:rsidP="00975266">
      <w:pPr>
        <w:pStyle w:val="af3"/>
        <w:spacing w:beforeLines="50" w:before="156" w:line="240" w:lineRule="auto"/>
        <w:ind w:firstLineChars="0" w:firstLine="0"/>
        <w:rPr>
          <w:rFonts w:ascii="仿宋" w:eastAsia="仿宋" w:hAnsi="仿宋"/>
          <w:b/>
          <w:bCs/>
          <w:sz w:val="24"/>
        </w:rPr>
      </w:pPr>
      <w:r w:rsidRPr="00975266">
        <w:rPr>
          <w:rFonts w:ascii="仿宋" w:eastAsia="仿宋" w:hAnsi="仿宋"/>
          <w:b/>
          <w:bCs/>
          <w:sz w:val="24"/>
        </w:rPr>
        <w:t>（</w:t>
      </w:r>
      <w:r w:rsidRPr="00975266">
        <w:rPr>
          <w:rFonts w:ascii="仿宋" w:eastAsia="仿宋" w:hAnsi="仿宋" w:hint="eastAsia"/>
          <w:b/>
          <w:bCs/>
          <w:sz w:val="24"/>
        </w:rPr>
        <w:t>10</w:t>
      </w:r>
      <w:r w:rsidRPr="00975266">
        <w:rPr>
          <w:rFonts w:ascii="仿宋" w:eastAsia="仿宋" w:hAnsi="仿宋"/>
          <w:b/>
          <w:bCs/>
          <w:sz w:val="24"/>
        </w:rPr>
        <w:t>）</w:t>
      </w:r>
      <w:r w:rsidRPr="00975266">
        <w:rPr>
          <w:rFonts w:ascii="仿宋" w:eastAsia="仿宋" w:hAnsi="仿宋" w:hint="eastAsia"/>
          <w:b/>
          <w:bCs/>
          <w:sz w:val="24"/>
        </w:rPr>
        <w:t>结果表述</w:t>
      </w:r>
    </w:p>
    <w:p w14:paraId="1509EC51" w14:textId="545D4D78" w:rsidR="00357EFD" w:rsidRPr="00E14275" w:rsidRDefault="00357EFD" w:rsidP="00357EFD">
      <w:pPr>
        <w:ind w:firstLine="420"/>
        <w:rPr>
          <w:rFonts w:ascii="仿宋" w:eastAsia="仿宋" w:hAnsi="仿宋"/>
        </w:rPr>
      </w:pPr>
      <w:r w:rsidRPr="00E14275">
        <w:rPr>
          <w:rFonts w:ascii="仿宋" w:eastAsia="仿宋" w:hAnsi="仿宋"/>
        </w:rPr>
        <w:t>在水稻育种实践中，常规自交品种和杂交种亲本材料均可能通过系统选育、回交、诱变、转基因、基因编辑等手段形成实质性派生品种。但是否构成EDV，不能仅凭分子标记位点的一致性高低判断，还应结合表型特征、基因型数据及育种系谱信息进行综合分析。</w:t>
      </w:r>
    </w:p>
    <w:p w14:paraId="123E3438" w14:textId="1A71C9CA" w:rsidR="00357EFD" w:rsidRPr="00E14275" w:rsidRDefault="00357EFD" w:rsidP="00975266">
      <w:pPr>
        <w:ind w:firstLine="420"/>
        <w:rPr>
          <w:rFonts w:ascii="仿宋" w:eastAsia="仿宋" w:hAnsi="仿宋"/>
        </w:rPr>
      </w:pPr>
      <w:r w:rsidRPr="00E14275">
        <w:rPr>
          <w:rFonts w:ascii="仿宋" w:eastAsia="仿宋" w:hAnsi="仿宋"/>
        </w:rPr>
        <w:t>通常情况下，当两品种间的基因型相似度高于特定阈值时（如依据SNP数据），待测品种与对照品种的关系可分为三种情况：</w:t>
      </w:r>
    </w:p>
    <w:p w14:paraId="1E271CB7" w14:textId="28BFA4DB" w:rsidR="00357EFD" w:rsidRPr="00E14275" w:rsidRDefault="00357EFD" w:rsidP="00357EFD">
      <w:pPr>
        <w:pStyle w:val="a9"/>
        <w:numPr>
          <w:ilvl w:val="0"/>
          <w:numId w:val="2"/>
        </w:numPr>
        <w:rPr>
          <w:rFonts w:ascii="仿宋" w:eastAsia="仿宋" w:hAnsi="仿宋"/>
        </w:rPr>
      </w:pPr>
      <w:r w:rsidRPr="00E14275">
        <w:rPr>
          <w:rFonts w:ascii="仿宋" w:eastAsia="仿宋" w:hAnsi="仿宋" w:hint="eastAsia"/>
        </w:rPr>
        <w:t>同</w:t>
      </w:r>
      <w:r w:rsidRPr="00E14275">
        <w:rPr>
          <w:rFonts w:ascii="仿宋" w:eastAsia="仿宋" w:hAnsi="仿宋"/>
        </w:rPr>
        <w:t>一品种：基因型高度一致，无显著性状差异；</w:t>
      </w:r>
    </w:p>
    <w:p w14:paraId="5E5B00B1" w14:textId="195AEFCF" w:rsidR="00357EFD" w:rsidRPr="00E14275" w:rsidRDefault="00357EFD" w:rsidP="00357EFD">
      <w:pPr>
        <w:pStyle w:val="a9"/>
        <w:numPr>
          <w:ilvl w:val="0"/>
          <w:numId w:val="2"/>
        </w:numPr>
        <w:rPr>
          <w:rFonts w:ascii="仿宋" w:eastAsia="仿宋" w:hAnsi="仿宋"/>
        </w:rPr>
      </w:pPr>
      <w:r w:rsidRPr="00E14275">
        <w:rPr>
          <w:rFonts w:ascii="仿宋" w:eastAsia="仿宋" w:hAnsi="仿宋"/>
        </w:rPr>
        <w:t>高度近似品种：虽未直接派生，但与原品种存在高度遗传一致性；</w:t>
      </w:r>
    </w:p>
    <w:p w14:paraId="44380B83" w14:textId="40A1CBCC" w:rsidR="00357EFD" w:rsidRPr="00975266" w:rsidRDefault="00357EFD" w:rsidP="00357EFD">
      <w:pPr>
        <w:pStyle w:val="a9"/>
        <w:numPr>
          <w:ilvl w:val="0"/>
          <w:numId w:val="2"/>
        </w:numPr>
        <w:rPr>
          <w:rFonts w:ascii="仿宋" w:eastAsia="仿宋" w:hAnsi="仿宋"/>
        </w:rPr>
      </w:pPr>
      <w:r w:rsidRPr="00E14275">
        <w:rPr>
          <w:rFonts w:ascii="仿宋" w:eastAsia="仿宋" w:hAnsi="仿宋"/>
        </w:rPr>
        <w:t>实质性派生品种（EDV）：满足以下三项条件：表型存在明显差异</w:t>
      </w:r>
      <w:r w:rsidRPr="00E14275">
        <w:rPr>
          <w:rFonts w:ascii="仿宋" w:eastAsia="仿宋" w:hAnsi="仿宋" w:hint="eastAsia"/>
        </w:rPr>
        <w:t>；</w:t>
      </w:r>
      <w:r w:rsidRPr="00E14275">
        <w:rPr>
          <w:rFonts w:ascii="仿宋" w:eastAsia="仿宋" w:hAnsi="仿宋"/>
        </w:rPr>
        <w:t>基因型相似度高于判定阈值</w:t>
      </w:r>
      <w:r w:rsidRPr="00E14275">
        <w:rPr>
          <w:rFonts w:ascii="仿宋" w:eastAsia="仿宋" w:hAnsi="仿宋" w:hint="eastAsia"/>
        </w:rPr>
        <w:t>；</w:t>
      </w:r>
      <w:r w:rsidRPr="00E14275">
        <w:rPr>
          <w:rFonts w:ascii="仿宋" w:eastAsia="仿宋" w:hAnsi="仿宋"/>
        </w:rPr>
        <w:t>育种系谱显示与原品种存在遗传来源关系。</w:t>
      </w:r>
    </w:p>
    <w:p w14:paraId="7D87260D" w14:textId="1583483B" w:rsidR="00357EFD" w:rsidRPr="00E14275" w:rsidRDefault="00357EFD" w:rsidP="00357EFD">
      <w:pPr>
        <w:ind w:firstLine="420"/>
        <w:rPr>
          <w:rFonts w:ascii="仿宋" w:eastAsia="仿宋" w:hAnsi="仿宋"/>
        </w:rPr>
      </w:pPr>
      <w:r w:rsidRPr="00E14275">
        <w:rPr>
          <w:rFonts w:ascii="仿宋" w:eastAsia="仿宋" w:hAnsi="仿宋"/>
        </w:rPr>
        <w:t>需要特别说明的是，水稻杂交种的亲本自交系可以作为EDV鉴定对象，但组配形成的杂交种本身不属于EDV鉴定范围。在实际应用中，可通过群体基因型频率分析，对杂交种的全基因组数据进行解析，从而反推其亲本的基因型构成与遗传贡献比例，为亲本自交系的EDV判定提供间接证据。</w:t>
      </w:r>
    </w:p>
    <w:p w14:paraId="1341D822" w14:textId="77777777" w:rsidR="00975266" w:rsidRDefault="00975266">
      <w:pPr>
        <w:rPr>
          <w:rFonts w:ascii="仿宋" w:eastAsia="仿宋" w:hAnsi="仿宋" w:cs="黑体"/>
          <w:b/>
          <w:kern w:val="44"/>
          <w:sz w:val="28"/>
          <w:szCs w:val="28"/>
        </w:rPr>
      </w:pPr>
      <w:r>
        <w:rPr>
          <w:rFonts w:ascii="仿宋" w:eastAsia="仿宋" w:hAnsi="仿宋" w:cs="黑体"/>
          <w:b/>
          <w:kern w:val="44"/>
          <w:sz w:val="28"/>
          <w:szCs w:val="28"/>
        </w:rPr>
        <w:br w:type="page"/>
      </w:r>
    </w:p>
    <w:p w14:paraId="5D90A648" w14:textId="1A142E53" w:rsidR="00CA3F10" w:rsidRPr="00975266" w:rsidRDefault="00CA3F10" w:rsidP="00975266">
      <w:pPr>
        <w:rPr>
          <w:rFonts w:ascii="黑体" w:eastAsia="黑体" w:hAnsi="黑体"/>
          <w:b/>
          <w:bCs/>
          <w:sz w:val="28"/>
          <w:szCs w:val="28"/>
        </w:rPr>
      </w:pPr>
      <w:r w:rsidRPr="00975266">
        <w:rPr>
          <w:rFonts w:ascii="黑体" w:eastAsia="黑体" w:hAnsi="黑体" w:hint="eastAsia"/>
          <w:b/>
          <w:bCs/>
          <w:sz w:val="28"/>
          <w:szCs w:val="28"/>
        </w:rPr>
        <w:lastRenderedPageBreak/>
        <w:t>三、主要试验（或验证）的分析、综合报告，技术经济论证，预期的经济结果</w:t>
      </w:r>
    </w:p>
    <w:p w14:paraId="114811B1" w14:textId="77777777" w:rsidR="00CA3F10" w:rsidRPr="00975266" w:rsidRDefault="00CA3F10" w:rsidP="00975266">
      <w:pPr>
        <w:spacing w:before="240" w:after="240"/>
        <w:rPr>
          <w:rFonts w:ascii="仿宋" w:eastAsia="仿宋" w:hAnsi="仿宋"/>
          <w:b/>
          <w:bCs/>
        </w:rPr>
      </w:pPr>
      <w:r w:rsidRPr="00975266">
        <w:rPr>
          <w:rFonts w:ascii="仿宋" w:eastAsia="仿宋" w:hAnsi="仿宋" w:hint="eastAsia"/>
          <w:b/>
          <w:bCs/>
        </w:rPr>
        <w:t>（一）主要试验（验证）结果分析</w:t>
      </w:r>
    </w:p>
    <w:p w14:paraId="14DB7E9B" w14:textId="15D1EF19" w:rsidR="00CA3F10" w:rsidRPr="00E14275" w:rsidRDefault="00CA3F10" w:rsidP="00CA3F10">
      <w:pPr>
        <w:pStyle w:val="af3"/>
        <w:spacing w:beforeLines="50" w:before="156" w:line="240" w:lineRule="auto"/>
        <w:ind w:firstLine="480"/>
        <w:rPr>
          <w:rFonts w:ascii="仿宋" w:eastAsia="仿宋" w:hAnsi="仿宋" w:cs="仿宋"/>
          <w:bCs/>
          <w:snapToGrid w:val="0"/>
          <w:sz w:val="24"/>
        </w:rPr>
      </w:pPr>
      <w:r w:rsidRPr="00E14275">
        <w:rPr>
          <w:rFonts w:ascii="仿宋" w:eastAsia="仿宋" w:hAnsi="仿宋" w:cs="仿宋" w:hint="eastAsia"/>
          <w:bCs/>
          <w:snapToGrid w:val="0"/>
          <w:sz w:val="24"/>
        </w:rPr>
        <w:t>联合国内具有丰富经验的科研院所、第三方检测机构、种业公司，包括</w:t>
      </w:r>
      <w:r w:rsidR="005C5254" w:rsidRPr="00E14275">
        <w:rPr>
          <w:rFonts w:ascii="仿宋" w:eastAsia="仿宋" w:hAnsi="仿宋" w:cs="仿宋" w:hint="eastAsia"/>
          <w:bCs/>
          <w:snapToGrid w:val="0"/>
          <w:sz w:val="24"/>
        </w:rPr>
        <w:t>XXX</w:t>
      </w:r>
      <w:r w:rsidRPr="00E14275">
        <w:rPr>
          <w:rFonts w:ascii="仿宋" w:eastAsia="仿宋" w:hAnsi="仿宋" w:cs="仿宋" w:hint="eastAsia"/>
          <w:bCs/>
          <w:snapToGrid w:val="0"/>
          <w:sz w:val="24"/>
        </w:rPr>
        <w:t>等</w:t>
      </w:r>
      <w:r w:rsidR="005C5254" w:rsidRPr="00E14275">
        <w:rPr>
          <w:rFonts w:ascii="仿宋" w:eastAsia="仿宋" w:hAnsi="仿宋" w:cs="仿宋" w:hint="eastAsia"/>
          <w:bCs/>
          <w:snapToGrid w:val="0"/>
          <w:sz w:val="24"/>
        </w:rPr>
        <w:t>X</w:t>
      </w:r>
      <w:r w:rsidRPr="00E14275">
        <w:rPr>
          <w:rFonts w:ascii="仿宋" w:eastAsia="仿宋" w:hAnsi="仿宋" w:cs="仿宋" w:hint="eastAsia"/>
          <w:bCs/>
          <w:snapToGrid w:val="0"/>
          <w:sz w:val="24"/>
        </w:rPr>
        <w:t>家单位对标准进行重复性、稳定性、一致性的验证，并出具验证报告。</w:t>
      </w:r>
    </w:p>
    <w:p w14:paraId="4394C8D7" w14:textId="77777777" w:rsidR="00CA3F10" w:rsidRPr="00975266" w:rsidRDefault="00CA3F10" w:rsidP="00975266">
      <w:pPr>
        <w:spacing w:before="240" w:after="240"/>
        <w:rPr>
          <w:rFonts w:ascii="仿宋" w:eastAsia="仿宋" w:hAnsi="仿宋"/>
          <w:b/>
          <w:bCs/>
        </w:rPr>
      </w:pPr>
      <w:r w:rsidRPr="00975266">
        <w:rPr>
          <w:rFonts w:ascii="仿宋" w:eastAsia="仿宋" w:hAnsi="仿宋" w:hint="eastAsia"/>
          <w:b/>
          <w:bCs/>
        </w:rPr>
        <w:t>（二）技术经济论证</w:t>
      </w:r>
    </w:p>
    <w:p w14:paraId="0A9E027F" w14:textId="028E154E" w:rsidR="001F67E1" w:rsidRPr="00E14275" w:rsidRDefault="005C5254" w:rsidP="001F67E1">
      <w:pPr>
        <w:pStyle w:val="af3"/>
        <w:spacing w:beforeLines="50" w:before="156" w:line="240" w:lineRule="auto"/>
        <w:ind w:firstLine="480"/>
        <w:rPr>
          <w:rFonts w:ascii="仿宋" w:eastAsia="仿宋" w:hAnsi="仿宋" w:cs="仿宋"/>
          <w:bCs/>
          <w:snapToGrid w:val="0"/>
          <w:sz w:val="24"/>
        </w:rPr>
      </w:pPr>
      <w:r w:rsidRPr="00E14275">
        <w:rPr>
          <w:rFonts w:ascii="仿宋" w:eastAsia="仿宋" w:hAnsi="仿宋" w:cs="仿宋" w:hint="eastAsia"/>
          <w:bCs/>
          <w:snapToGrid w:val="0"/>
          <w:sz w:val="24"/>
        </w:rPr>
        <w:t>国内测序成本的不断降低，有助于基于全基因组测序的策略进行EDV的判定，目前</w:t>
      </w:r>
      <w:r w:rsidR="001F67E1" w:rsidRPr="00E14275">
        <w:rPr>
          <w:rFonts w:ascii="仿宋" w:eastAsia="仿宋" w:hAnsi="仿宋" w:cs="仿宋" w:hint="eastAsia"/>
          <w:bCs/>
          <w:snapToGrid w:val="0"/>
          <w:sz w:val="24"/>
        </w:rPr>
        <w:t>经我们优化的</w:t>
      </w:r>
      <w:r w:rsidRPr="00E14275">
        <w:rPr>
          <w:rFonts w:ascii="仿宋" w:eastAsia="仿宋" w:hAnsi="仿宋" w:cs="仿宋" w:hint="eastAsia"/>
          <w:bCs/>
          <w:snapToGrid w:val="0"/>
          <w:sz w:val="24"/>
        </w:rPr>
        <w:t>全基因组文库的建库提取可以达到</w:t>
      </w:r>
      <w:r w:rsidR="001F67E1" w:rsidRPr="00E14275">
        <w:rPr>
          <w:rFonts w:ascii="仿宋" w:eastAsia="仿宋" w:hAnsi="仿宋" w:cs="仿宋" w:hint="eastAsia"/>
          <w:bCs/>
          <w:snapToGrid w:val="0"/>
          <w:sz w:val="24"/>
        </w:rPr>
        <w:t>2</w:t>
      </w:r>
      <w:r w:rsidRPr="00E14275">
        <w:rPr>
          <w:rFonts w:ascii="仿宋" w:eastAsia="仿宋" w:hAnsi="仿宋" w:cs="仿宋" w:hint="eastAsia"/>
          <w:bCs/>
          <w:snapToGrid w:val="0"/>
          <w:sz w:val="24"/>
        </w:rPr>
        <w:t>0元/样本。由于水稻基因组较小（</w:t>
      </w:r>
      <w:r w:rsidR="001F67E1" w:rsidRPr="00E14275">
        <w:rPr>
          <w:rFonts w:ascii="仿宋" w:eastAsia="仿宋" w:hAnsi="仿宋" w:cs="仿宋"/>
          <w:bCs/>
          <w:snapToGrid w:val="0"/>
          <w:sz w:val="24"/>
        </w:rPr>
        <w:t xml:space="preserve">390–430 Mb）,30X </w:t>
      </w:r>
      <w:r w:rsidR="001F67E1" w:rsidRPr="00E14275">
        <w:rPr>
          <w:rFonts w:ascii="仿宋" w:eastAsia="仿宋" w:hAnsi="仿宋" w:cs="仿宋" w:hint="eastAsia"/>
          <w:bCs/>
          <w:snapToGrid w:val="0"/>
          <w:sz w:val="24"/>
        </w:rPr>
        <w:t>测序量约13Gb，以现有MGI平台核算，单样本提取、建库、测序成本价在120元以内。</w:t>
      </w:r>
    </w:p>
    <w:p w14:paraId="54952368" w14:textId="77777777" w:rsidR="00FE44D6" w:rsidRPr="00E14275" w:rsidRDefault="001F67E1" w:rsidP="00975266">
      <w:pPr>
        <w:ind w:firstLine="420"/>
        <w:rPr>
          <w:rFonts w:ascii="仿宋" w:eastAsia="仿宋" w:hAnsi="仿宋" w:cs="仿宋"/>
          <w:bCs/>
          <w:snapToGrid w:val="0"/>
        </w:rPr>
      </w:pPr>
      <w:r w:rsidRPr="00E14275">
        <w:rPr>
          <w:rFonts w:ascii="仿宋" w:eastAsia="仿宋" w:hAnsi="仿宋" w:cs="仿宋" w:hint="eastAsia"/>
          <w:bCs/>
          <w:snapToGrid w:val="0"/>
        </w:rPr>
        <w:t>与其他方法相比，</w:t>
      </w:r>
      <w:r w:rsidR="00FE44D6" w:rsidRPr="00E14275">
        <w:rPr>
          <w:rFonts w:ascii="仿宋" w:eastAsia="仿宋" w:hAnsi="仿宋" w:cs="仿宋"/>
          <w:bCs/>
          <w:snapToGrid w:val="0"/>
        </w:rPr>
        <w:t>全基因组测序具有以下显著优势：</w:t>
      </w:r>
    </w:p>
    <w:p w14:paraId="787C1ED3" w14:textId="65ACD78F" w:rsidR="00FE44D6" w:rsidRPr="00FE44D6" w:rsidRDefault="00FE44D6" w:rsidP="00FE44D6">
      <w:pPr>
        <w:rPr>
          <w:rFonts w:ascii="仿宋" w:eastAsia="仿宋" w:hAnsi="仿宋" w:cs="仿宋"/>
          <w:bCs/>
          <w:snapToGrid w:val="0"/>
        </w:rPr>
      </w:pPr>
      <w:r w:rsidRPr="00E14275">
        <w:rPr>
          <w:rFonts w:ascii="仿宋" w:eastAsia="仿宋" w:hAnsi="仿宋" w:cs="仿宋" w:hint="eastAsia"/>
          <w:bCs/>
          <w:snapToGrid w:val="0"/>
        </w:rPr>
        <w:t>（1）</w:t>
      </w:r>
      <w:r w:rsidRPr="00FE44D6">
        <w:rPr>
          <w:rFonts w:ascii="仿宋" w:eastAsia="仿宋" w:hAnsi="仿宋" w:cs="仿宋"/>
          <w:bCs/>
          <w:snapToGrid w:val="0"/>
        </w:rPr>
        <w:t>信息可追溯与重复利用：测序数据可长期保存，作为样本的电子档案。当EDV判定标准或分析方法更新时，仅需重新统计分析，无需重复实验，确保标准信息的可持续演进；</w:t>
      </w:r>
    </w:p>
    <w:p w14:paraId="4CB780E2" w14:textId="48ABF295" w:rsidR="00FE44D6" w:rsidRPr="00FE44D6" w:rsidRDefault="00FE44D6" w:rsidP="00FE44D6">
      <w:pPr>
        <w:rPr>
          <w:rFonts w:ascii="仿宋" w:eastAsia="仿宋" w:hAnsi="仿宋" w:cs="仿宋"/>
          <w:bCs/>
          <w:snapToGrid w:val="0"/>
        </w:rPr>
      </w:pPr>
      <w:r w:rsidRPr="00E14275">
        <w:rPr>
          <w:rFonts w:ascii="仿宋" w:eastAsia="仿宋" w:hAnsi="仿宋" w:cs="仿宋" w:hint="eastAsia"/>
          <w:bCs/>
          <w:snapToGrid w:val="0"/>
        </w:rPr>
        <w:t>（2）</w:t>
      </w:r>
      <w:r w:rsidRPr="00FE44D6">
        <w:rPr>
          <w:rFonts w:ascii="仿宋" w:eastAsia="仿宋" w:hAnsi="仿宋" w:cs="仿宋"/>
          <w:bCs/>
          <w:snapToGrid w:val="0"/>
        </w:rPr>
        <w:t>全面的遗传覆盖：WGS覆盖整个基因组，可同时支持遗传背景分析、亲缘关系判断、EDV判定和品种特征定位；</w:t>
      </w:r>
    </w:p>
    <w:p w14:paraId="36D83E16" w14:textId="13138106" w:rsidR="00FE44D6" w:rsidRPr="00FE44D6" w:rsidRDefault="00FE44D6" w:rsidP="00FE44D6">
      <w:pPr>
        <w:rPr>
          <w:rFonts w:ascii="仿宋" w:eastAsia="仿宋" w:hAnsi="仿宋" w:cs="仿宋"/>
          <w:bCs/>
          <w:snapToGrid w:val="0"/>
        </w:rPr>
      </w:pPr>
      <w:r w:rsidRPr="00E14275">
        <w:rPr>
          <w:rFonts w:ascii="仿宋" w:eastAsia="仿宋" w:hAnsi="仿宋" w:cs="仿宋" w:hint="eastAsia"/>
          <w:bCs/>
          <w:snapToGrid w:val="0"/>
        </w:rPr>
        <w:t>（3）</w:t>
      </w:r>
      <w:r w:rsidRPr="00FE44D6">
        <w:rPr>
          <w:rFonts w:ascii="仿宋" w:eastAsia="仿宋" w:hAnsi="仿宋" w:cs="仿宋"/>
          <w:bCs/>
          <w:snapToGrid w:val="0"/>
        </w:rPr>
        <w:t>支撑品种管理与育种应用：测序数据不仅可用于品种一致性检测，也可辅助优质性状的遗传解析与育种预测，为育种决策提供支持；</w:t>
      </w:r>
    </w:p>
    <w:p w14:paraId="20D29F9F" w14:textId="302B0DDA" w:rsidR="00FE44D6" w:rsidRPr="00FE44D6" w:rsidRDefault="00FE44D6" w:rsidP="00FE44D6">
      <w:pPr>
        <w:rPr>
          <w:rFonts w:ascii="仿宋" w:eastAsia="仿宋" w:hAnsi="仿宋" w:cs="仿宋"/>
          <w:bCs/>
          <w:snapToGrid w:val="0"/>
        </w:rPr>
      </w:pPr>
      <w:r w:rsidRPr="00E14275">
        <w:rPr>
          <w:rFonts w:ascii="仿宋" w:eastAsia="仿宋" w:hAnsi="仿宋" w:cs="仿宋" w:hint="eastAsia"/>
          <w:bCs/>
          <w:snapToGrid w:val="0"/>
        </w:rPr>
        <w:t>（4）</w:t>
      </w:r>
      <w:r w:rsidRPr="00FE44D6">
        <w:rPr>
          <w:rFonts w:ascii="仿宋" w:eastAsia="仿宋" w:hAnsi="仿宋" w:cs="仿宋"/>
          <w:bCs/>
          <w:snapToGrid w:val="0"/>
        </w:rPr>
        <w:t>统一平台标准化：便于实现不同样本、不同检测批次间的数据统一比对，降低批次间偏差。</w:t>
      </w:r>
    </w:p>
    <w:p w14:paraId="4B425121" w14:textId="7EBF3B1C" w:rsidR="00FE44D6" w:rsidRPr="00FE44D6" w:rsidRDefault="00FE44D6" w:rsidP="00975266">
      <w:pPr>
        <w:ind w:firstLine="420"/>
        <w:rPr>
          <w:rFonts w:ascii="仿宋" w:eastAsia="仿宋" w:hAnsi="仿宋" w:cs="仿宋"/>
          <w:bCs/>
          <w:snapToGrid w:val="0"/>
        </w:rPr>
      </w:pPr>
      <w:r w:rsidRPr="00FE44D6">
        <w:rPr>
          <w:rFonts w:ascii="仿宋" w:eastAsia="仿宋" w:hAnsi="仿宋" w:cs="仿宋"/>
          <w:bCs/>
          <w:snapToGrid w:val="0"/>
        </w:rPr>
        <w:t>因此，基于全基因组测序的EDV判定方法，不仅具备成本可控的现实基础，也具有标准长期适用性和数据价值最大化的技术前景，可作为推荐技术路径纳入EDV检测与管理体系中。</w:t>
      </w:r>
    </w:p>
    <w:p w14:paraId="0DF8CF82" w14:textId="77777777" w:rsidR="00CA3F10" w:rsidRPr="00975266" w:rsidRDefault="00CA3F10" w:rsidP="00975266">
      <w:pPr>
        <w:spacing w:before="240" w:after="240"/>
        <w:rPr>
          <w:rFonts w:ascii="仿宋" w:eastAsia="仿宋" w:hAnsi="仿宋"/>
          <w:b/>
          <w:bCs/>
        </w:rPr>
      </w:pPr>
      <w:r w:rsidRPr="00975266">
        <w:rPr>
          <w:rFonts w:ascii="仿宋" w:eastAsia="仿宋" w:hAnsi="仿宋" w:hint="eastAsia"/>
          <w:b/>
          <w:bCs/>
        </w:rPr>
        <w:t>（三）预期经济增长效果</w:t>
      </w:r>
    </w:p>
    <w:p w14:paraId="1D3D5B7C" w14:textId="3E1AC442" w:rsidR="00CA3F10" w:rsidRPr="00E14275" w:rsidRDefault="00CA3F10" w:rsidP="00CA3F10">
      <w:pPr>
        <w:pStyle w:val="af3"/>
        <w:spacing w:beforeLines="50" w:before="156" w:line="240" w:lineRule="auto"/>
        <w:ind w:firstLineChars="196" w:firstLine="470"/>
        <w:rPr>
          <w:rFonts w:ascii="仿宋" w:eastAsia="仿宋" w:hAnsi="仿宋" w:cs="仿宋"/>
          <w:bCs/>
          <w:snapToGrid w:val="0"/>
          <w:sz w:val="24"/>
        </w:rPr>
      </w:pPr>
      <w:r w:rsidRPr="00E14275">
        <w:rPr>
          <w:rFonts w:ascii="仿宋" w:eastAsia="仿宋" w:hAnsi="仿宋" w:cs="仿宋" w:hint="eastAsia"/>
          <w:bCs/>
          <w:snapToGrid w:val="0"/>
          <w:sz w:val="24"/>
        </w:rPr>
        <w:t>本标准</w:t>
      </w:r>
      <w:r w:rsidR="00FE44D6" w:rsidRPr="00E14275">
        <w:rPr>
          <w:rFonts w:ascii="仿宋" w:eastAsia="仿宋" w:hAnsi="仿宋" w:cs="仿宋" w:hint="eastAsia"/>
          <w:bCs/>
          <w:snapToGrid w:val="0"/>
          <w:sz w:val="24"/>
        </w:rPr>
        <w:t>考虑了籼、粳稻遗传背景，通过对位点密集采样和平衡遗传背景，可以对样本亲缘关系鉴定提供更加稳定的统计学阈值，</w:t>
      </w:r>
      <w:r w:rsidRPr="00E14275">
        <w:rPr>
          <w:rFonts w:ascii="仿宋" w:eastAsia="仿宋" w:hAnsi="仿宋" w:cs="仿宋" w:hint="eastAsia"/>
          <w:bCs/>
          <w:snapToGrid w:val="0"/>
          <w:sz w:val="24"/>
        </w:rPr>
        <w:t>提高了鉴定精度，对我国</w:t>
      </w:r>
      <w:r w:rsidR="00FE44D6" w:rsidRPr="00E14275">
        <w:rPr>
          <w:rFonts w:ascii="仿宋" w:eastAsia="仿宋" w:hAnsi="仿宋" w:cs="仿宋" w:hint="eastAsia"/>
          <w:bCs/>
          <w:snapToGrid w:val="0"/>
          <w:sz w:val="24"/>
        </w:rPr>
        <w:t>水稻</w:t>
      </w:r>
      <w:r w:rsidRPr="00E14275">
        <w:rPr>
          <w:rFonts w:ascii="仿宋" w:eastAsia="仿宋" w:hAnsi="仿宋" w:cs="仿宋" w:hint="eastAsia"/>
          <w:bCs/>
          <w:snapToGrid w:val="0"/>
          <w:sz w:val="24"/>
        </w:rPr>
        <w:t>品种鉴定、品种权保护、种质资源评估、分子辅助育种等均具有重要意义，应用前景广阔。</w:t>
      </w:r>
    </w:p>
    <w:p w14:paraId="55EB72CC" w14:textId="77777777" w:rsidR="00CA3F10" w:rsidRPr="00975266" w:rsidRDefault="00CA3F10" w:rsidP="00975266">
      <w:pPr>
        <w:pStyle w:val="af3"/>
        <w:spacing w:beforeLines="50" w:before="156" w:line="240" w:lineRule="auto"/>
        <w:ind w:firstLineChars="0" w:firstLine="0"/>
        <w:rPr>
          <w:rFonts w:ascii="黑体" w:eastAsia="黑体" w:hAnsi="黑体"/>
          <w:b/>
          <w:bCs/>
          <w:sz w:val="28"/>
          <w:szCs w:val="28"/>
        </w:rPr>
      </w:pPr>
      <w:r w:rsidRPr="00975266">
        <w:rPr>
          <w:rFonts w:ascii="黑体" w:eastAsia="黑体" w:hAnsi="黑体" w:hint="eastAsia"/>
          <w:b/>
          <w:bCs/>
          <w:sz w:val="28"/>
          <w:szCs w:val="28"/>
        </w:rPr>
        <w:t>四、采用国际标准和国外先进标准的程度，以及与国际、国外同类标准水平的对比情况，或与测试的国外样品、样机的有关数据对比情况</w:t>
      </w:r>
    </w:p>
    <w:p w14:paraId="6375E92D" w14:textId="070C78A8" w:rsidR="004C063F" w:rsidRPr="004C063F" w:rsidRDefault="00CA3F10" w:rsidP="004C063F">
      <w:pPr>
        <w:pStyle w:val="af3"/>
        <w:spacing w:beforeLines="50" w:before="156" w:line="240" w:lineRule="auto"/>
        <w:ind w:firstLine="480"/>
        <w:rPr>
          <w:rFonts w:ascii="仿宋" w:eastAsia="仿宋" w:hAnsi="仿宋" w:cs="仿宋"/>
          <w:bCs/>
          <w:snapToGrid w:val="0"/>
          <w:sz w:val="24"/>
        </w:rPr>
      </w:pPr>
      <w:r>
        <w:rPr>
          <w:rFonts w:ascii="仿宋" w:eastAsia="仿宋" w:hAnsi="仿宋" w:cs="仿宋" w:hint="eastAsia"/>
          <w:bCs/>
          <w:snapToGrid w:val="0"/>
          <w:sz w:val="24"/>
        </w:rPr>
        <w:t>国际上尚未有基于</w:t>
      </w:r>
      <w:r w:rsidR="00FE44D6">
        <w:rPr>
          <w:rFonts w:ascii="仿宋" w:eastAsia="仿宋" w:hAnsi="仿宋" w:cs="仿宋" w:hint="eastAsia"/>
          <w:bCs/>
          <w:snapToGrid w:val="0"/>
          <w:sz w:val="24"/>
        </w:rPr>
        <w:t>全基因组</w:t>
      </w:r>
      <w:r>
        <w:rPr>
          <w:rFonts w:ascii="仿宋" w:eastAsia="仿宋" w:hAnsi="仿宋" w:cs="仿宋" w:hint="eastAsia"/>
          <w:bCs/>
          <w:snapToGrid w:val="0"/>
          <w:sz w:val="24"/>
        </w:rPr>
        <w:t>的</w:t>
      </w:r>
      <w:r w:rsidR="00FE44D6">
        <w:rPr>
          <w:rFonts w:ascii="仿宋" w:eastAsia="仿宋" w:hAnsi="仿宋" w:cs="仿宋" w:hint="eastAsia"/>
          <w:bCs/>
          <w:snapToGrid w:val="0"/>
          <w:sz w:val="24"/>
        </w:rPr>
        <w:t>水稻</w:t>
      </w:r>
      <w:r>
        <w:rPr>
          <w:rFonts w:ascii="仿宋" w:eastAsia="仿宋" w:hAnsi="仿宋" w:cs="仿宋" w:hint="eastAsia"/>
          <w:bCs/>
          <w:snapToGrid w:val="0"/>
          <w:sz w:val="24"/>
        </w:rPr>
        <w:t>实质性派生品种鉴定的标准颁布实施</w:t>
      </w:r>
      <w:r w:rsidR="00FE44D6">
        <w:rPr>
          <w:rFonts w:ascii="仿宋" w:eastAsia="仿宋" w:hAnsi="仿宋" w:cs="仿宋" w:hint="eastAsia"/>
          <w:bCs/>
          <w:snapToGrid w:val="0"/>
          <w:sz w:val="24"/>
        </w:rPr>
        <w:t>。国内目前已有《</w:t>
      </w:r>
      <w:r w:rsidR="00FE44D6" w:rsidRPr="00FE44D6">
        <w:rPr>
          <w:rFonts w:ascii="仿宋" w:eastAsia="仿宋" w:hAnsi="仿宋" w:cs="仿宋"/>
          <w:bCs/>
          <w:snapToGrid w:val="0"/>
          <w:sz w:val="24"/>
        </w:rPr>
        <w:t>水稻品种及其实质性派生品种鉴定 MNP标记法</w:t>
      </w:r>
      <w:r w:rsidR="00FE44D6">
        <w:rPr>
          <w:rFonts w:ascii="仿宋" w:eastAsia="仿宋" w:hAnsi="仿宋" w:cs="仿宋" w:hint="eastAsia"/>
          <w:bCs/>
          <w:snapToGrid w:val="0"/>
          <w:sz w:val="24"/>
        </w:rPr>
        <w:t>》，与该方法相</w:t>
      </w:r>
      <w:r w:rsidR="00FE44D6">
        <w:rPr>
          <w:rFonts w:ascii="仿宋" w:eastAsia="仿宋" w:hAnsi="仿宋" w:cs="仿宋" w:hint="eastAsia"/>
          <w:bCs/>
          <w:snapToGrid w:val="0"/>
          <w:sz w:val="24"/>
        </w:rPr>
        <w:lastRenderedPageBreak/>
        <w:t>比，全基因组测序测序成本与之相当，但获得信息量远超现有方法，提高了10倍，此外我们对于SNP位点的选择考虑了亚群遗传背景的差异并进行了组合设计，阈值更为公平。</w:t>
      </w:r>
      <w:r w:rsidR="004C063F" w:rsidRPr="004C063F">
        <w:rPr>
          <w:rFonts w:ascii="仿宋" w:eastAsia="仿宋" w:hAnsi="仿宋" w:cs="仿宋"/>
          <w:bCs/>
          <w:snapToGrid w:val="0"/>
          <w:sz w:val="24"/>
        </w:rPr>
        <w:t>目前，国际尚无正式发布并实施的基于全基因组数据的水稻实质性派生品种（EDV）鉴定标准。在国内，已有标准《水稻品种及其实质性派生品种鉴定 MNP标记法》，该方法基于少量高多态性位点进行比对分析，已在部分实际应用中取得初步效果。</w:t>
      </w:r>
    </w:p>
    <w:p w14:paraId="57F32E3C" w14:textId="4057E582" w:rsidR="004C063F" w:rsidRPr="004C063F" w:rsidRDefault="004C063F" w:rsidP="004C063F">
      <w:pPr>
        <w:pStyle w:val="af3"/>
        <w:spacing w:beforeLines="50" w:before="156" w:line="240" w:lineRule="auto"/>
        <w:ind w:firstLine="480"/>
        <w:rPr>
          <w:rFonts w:ascii="仿宋" w:eastAsia="仿宋" w:hAnsi="仿宋" w:cs="仿宋"/>
          <w:bCs/>
          <w:snapToGrid w:val="0"/>
          <w:sz w:val="24"/>
        </w:rPr>
      </w:pPr>
      <w:r w:rsidRPr="004C063F">
        <w:rPr>
          <w:rFonts w:ascii="仿宋" w:eastAsia="仿宋" w:hAnsi="仿宋" w:cs="仿宋"/>
          <w:bCs/>
          <w:snapToGrid w:val="0"/>
          <w:sz w:val="24"/>
        </w:rPr>
        <w:t>与MNP方法相比，我们提出的基于全基因组测序的EDV判定策略在信息量、准确性及公平性方面具备显著优势：</w:t>
      </w:r>
    </w:p>
    <w:p w14:paraId="19E34C61" w14:textId="3FD00DA3" w:rsidR="004C063F" w:rsidRPr="004C063F" w:rsidRDefault="004C063F" w:rsidP="004C063F">
      <w:pPr>
        <w:pStyle w:val="af3"/>
        <w:spacing w:beforeLines="50" w:before="156" w:line="240" w:lineRule="auto"/>
        <w:ind w:firstLine="480"/>
        <w:rPr>
          <w:rFonts w:ascii="仿宋" w:eastAsia="仿宋" w:hAnsi="仿宋" w:cs="仿宋"/>
          <w:bCs/>
          <w:snapToGrid w:val="0"/>
          <w:sz w:val="24"/>
        </w:rPr>
      </w:pPr>
      <w:r>
        <w:rPr>
          <w:rFonts w:ascii="仿宋" w:eastAsia="仿宋" w:hAnsi="仿宋" w:cs="仿宋" w:hint="eastAsia"/>
          <w:bCs/>
          <w:snapToGrid w:val="0"/>
          <w:sz w:val="24"/>
        </w:rPr>
        <w:t>（1）</w:t>
      </w:r>
      <w:r w:rsidRPr="004C063F">
        <w:rPr>
          <w:rFonts w:ascii="仿宋" w:eastAsia="仿宋" w:hAnsi="仿宋" w:cs="仿宋"/>
          <w:bCs/>
          <w:snapToGrid w:val="0"/>
          <w:sz w:val="24"/>
        </w:rPr>
        <w:t>信息量提升显著：在测序成本相近的前提下，全基因组测序获得的有效位点信息量为MNP法的10倍以上，显著提升遗传背景解析的分辨率与准确性；</w:t>
      </w:r>
    </w:p>
    <w:p w14:paraId="57FD39D4" w14:textId="2C4C9442" w:rsidR="004C063F" w:rsidRPr="004C063F" w:rsidRDefault="004C063F" w:rsidP="004C063F">
      <w:pPr>
        <w:pStyle w:val="af3"/>
        <w:spacing w:beforeLines="50" w:before="156" w:line="240" w:lineRule="auto"/>
        <w:ind w:firstLine="480"/>
        <w:rPr>
          <w:rFonts w:ascii="仿宋" w:eastAsia="仿宋" w:hAnsi="仿宋" w:cs="仿宋"/>
          <w:bCs/>
          <w:snapToGrid w:val="0"/>
          <w:sz w:val="24"/>
        </w:rPr>
      </w:pPr>
      <w:r>
        <w:rPr>
          <w:rFonts w:ascii="仿宋" w:eastAsia="仿宋" w:hAnsi="仿宋" w:cs="仿宋" w:hint="eastAsia"/>
          <w:bCs/>
          <w:snapToGrid w:val="0"/>
          <w:sz w:val="24"/>
        </w:rPr>
        <w:t>（2）</w:t>
      </w:r>
      <w:r w:rsidRPr="004C063F">
        <w:rPr>
          <w:rFonts w:ascii="仿宋" w:eastAsia="仿宋" w:hAnsi="仿宋" w:cs="仿宋"/>
          <w:bCs/>
          <w:snapToGrid w:val="0"/>
          <w:sz w:val="24"/>
        </w:rPr>
        <w:t>考虑群体结构差异：在SNP位点筛选与阈值设定过程中，系统考虑了籼、粳亚群及其杂交背景的遗传差异，通过组合设计确保在不同遗传群体中具备一致的判别力；</w:t>
      </w:r>
    </w:p>
    <w:p w14:paraId="449FD247" w14:textId="14A0E9E2" w:rsidR="00CA3F10" w:rsidRPr="004C063F" w:rsidRDefault="004C063F" w:rsidP="004C063F">
      <w:pPr>
        <w:pStyle w:val="af3"/>
        <w:spacing w:beforeLines="50" w:before="156" w:line="240" w:lineRule="auto"/>
        <w:ind w:firstLine="480"/>
        <w:rPr>
          <w:rFonts w:ascii="仿宋" w:eastAsia="仿宋" w:hAnsi="仿宋" w:cs="仿宋"/>
          <w:bCs/>
          <w:snapToGrid w:val="0"/>
          <w:sz w:val="24"/>
        </w:rPr>
      </w:pPr>
      <w:r>
        <w:rPr>
          <w:rFonts w:ascii="仿宋" w:eastAsia="仿宋" w:hAnsi="仿宋" w:cs="仿宋" w:hint="eastAsia"/>
          <w:bCs/>
          <w:snapToGrid w:val="0"/>
          <w:sz w:val="24"/>
        </w:rPr>
        <w:t>（3）</w:t>
      </w:r>
      <w:r w:rsidRPr="004C063F">
        <w:rPr>
          <w:rFonts w:ascii="仿宋" w:eastAsia="仿宋" w:hAnsi="仿宋" w:cs="仿宋"/>
          <w:bCs/>
          <w:snapToGrid w:val="0"/>
          <w:sz w:val="24"/>
        </w:rPr>
        <w:t>判定标准更具公平性：与固定位点比对方法相比，全基因组方法在判定相似度时更全面、连续且不偏向特定背景品种，更符合遗传学实质差异的本质判断。</w:t>
      </w:r>
    </w:p>
    <w:p w14:paraId="4252C349" w14:textId="77777777" w:rsidR="00CA3F10" w:rsidRDefault="00CA3F10" w:rsidP="00975266">
      <w:pPr>
        <w:pStyle w:val="af3"/>
        <w:spacing w:beforeLines="50" w:before="156" w:line="240" w:lineRule="auto"/>
        <w:ind w:firstLineChars="0" w:firstLine="0"/>
        <w:rPr>
          <w:rFonts w:ascii="黑体" w:eastAsia="黑体" w:hAnsi="黑体" w:cs="黑体"/>
          <w:b/>
          <w:kern w:val="44"/>
          <w:sz w:val="28"/>
          <w:szCs w:val="28"/>
        </w:rPr>
      </w:pPr>
      <w:r>
        <w:rPr>
          <w:rFonts w:ascii="黑体" w:eastAsia="黑体" w:hAnsi="黑体" w:cs="黑体" w:hint="eastAsia"/>
          <w:b/>
          <w:kern w:val="44"/>
          <w:sz w:val="28"/>
          <w:szCs w:val="28"/>
        </w:rPr>
        <w:t>五、与有关的现行法律、法规和强制性标准的关系</w:t>
      </w:r>
    </w:p>
    <w:p w14:paraId="7C1AAB05" w14:textId="77777777" w:rsidR="00CA3F10" w:rsidRDefault="00CA3F10" w:rsidP="00CA3F10">
      <w:pPr>
        <w:pStyle w:val="af3"/>
        <w:spacing w:beforeLines="50" w:before="156" w:line="240" w:lineRule="auto"/>
        <w:ind w:firstLine="480"/>
        <w:rPr>
          <w:rFonts w:ascii="仿宋" w:eastAsia="仿宋" w:hAnsi="仿宋" w:cs="仿宋"/>
          <w:bCs/>
          <w:snapToGrid w:val="0"/>
          <w:sz w:val="24"/>
        </w:rPr>
      </w:pPr>
      <w:r>
        <w:rPr>
          <w:rFonts w:ascii="仿宋" w:eastAsia="仿宋" w:hAnsi="仿宋" w:cs="仿宋" w:hint="eastAsia"/>
          <w:bCs/>
          <w:snapToGrid w:val="0"/>
          <w:sz w:val="24"/>
        </w:rPr>
        <w:t>2022年3月颁布实施的《中华人民共和国种子法》，将实质性派生品种概念纳入法律范畴，根据新种子法第二十八条规定，实施实质性派生品种相关行为时，应征得原始品种权人的同意。</w:t>
      </w:r>
    </w:p>
    <w:p w14:paraId="261FE76A" w14:textId="1FFC7770" w:rsidR="00CA3F10" w:rsidRDefault="00CA3F10" w:rsidP="00CA3F10">
      <w:pPr>
        <w:pStyle w:val="af3"/>
        <w:spacing w:beforeLines="50" w:before="156" w:line="240" w:lineRule="auto"/>
        <w:ind w:firstLine="480"/>
        <w:rPr>
          <w:rFonts w:ascii="仿宋" w:eastAsia="仿宋" w:hAnsi="仿宋" w:cs="仿宋"/>
          <w:bCs/>
          <w:snapToGrid w:val="0"/>
          <w:sz w:val="24"/>
        </w:rPr>
      </w:pPr>
      <w:r>
        <w:rPr>
          <w:rFonts w:ascii="仿宋" w:eastAsia="仿宋" w:hAnsi="仿宋" w:cs="仿宋" w:hint="eastAsia"/>
          <w:bCs/>
          <w:snapToGrid w:val="0"/>
          <w:sz w:val="24"/>
        </w:rPr>
        <w:t>此外，新种子法将快速检测方法纳入行政处罚依据，种子法第四十七条中规定“……农业、林业主管部门可以采用国家规定的快速检测方法对生产经营的种子品种进行检测，检测结果可以作为行政处罚依据。被检查人对检测结果有异议的，可以申请复检，复检不得采用同一检测方法。……”。本项标准符合现行法律规定。</w:t>
      </w:r>
    </w:p>
    <w:p w14:paraId="30FD8614" w14:textId="77777777" w:rsidR="00CA3F10" w:rsidRDefault="00CA3F10" w:rsidP="00CA3F10">
      <w:pPr>
        <w:pStyle w:val="af3"/>
        <w:spacing w:beforeLines="50" w:before="156" w:line="240" w:lineRule="auto"/>
        <w:ind w:firstLine="480"/>
        <w:rPr>
          <w:rFonts w:ascii="仿宋" w:eastAsia="仿宋" w:hAnsi="仿宋" w:cs="仿宋"/>
          <w:bCs/>
          <w:snapToGrid w:val="0"/>
          <w:sz w:val="24"/>
        </w:rPr>
      </w:pPr>
      <w:r>
        <w:rPr>
          <w:rFonts w:ascii="仿宋" w:eastAsia="仿宋" w:hAnsi="仿宋" w:cs="仿宋" w:hint="eastAsia"/>
          <w:bCs/>
          <w:snapToGrid w:val="0"/>
          <w:sz w:val="24"/>
        </w:rPr>
        <w:t>本标准内容与现行法律、法规和强制性标准不发生冲突，符合我国有关法律、法规和经济发展、科学技术发展的方针、政策的要求。目前国内暂无与本文件内容相关的强制性标准。</w:t>
      </w:r>
    </w:p>
    <w:p w14:paraId="090D8C6E" w14:textId="77777777" w:rsidR="00CA3F10" w:rsidRDefault="00CA3F10" w:rsidP="00975266">
      <w:pPr>
        <w:pStyle w:val="af3"/>
        <w:spacing w:beforeLines="50" w:before="156" w:line="240" w:lineRule="auto"/>
        <w:ind w:firstLineChars="0" w:firstLine="0"/>
        <w:rPr>
          <w:rFonts w:ascii="黑体" w:eastAsia="黑体" w:hAnsi="黑体" w:cs="黑体"/>
          <w:b/>
          <w:kern w:val="44"/>
          <w:sz w:val="28"/>
          <w:szCs w:val="28"/>
        </w:rPr>
      </w:pPr>
      <w:r>
        <w:rPr>
          <w:rFonts w:ascii="黑体" w:eastAsia="黑体" w:hAnsi="黑体" w:cs="黑体" w:hint="eastAsia"/>
          <w:b/>
          <w:kern w:val="44"/>
          <w:sz w:val="28"/>
          <w:szCs w:val="28"/>
        </w:rPr>
        <w:t>六、重大分歧意见的处理经过和依据</w:t>
      </w:r>
    </w:p>
    <w:p w14:paraId="67D0FF4C" w14:textId="77777777" w:rsidR="00CA3F10" w:rsidRDefault="00CA3F10" w:rsidP="00CA3F10">
      <w:pPr>
        <w:pStyle w:val="af3"/>
        <w:spacing w:beforeLines="50" w:before="156" w:line="240" w:lineRule="auto"/>
        <w:ind w:firstLine="480"/>
        <w:rPr>
          <w:rFonts w:ascii="仿宋" w:eastAsia="仿宋" w:hAnsi="仿宋" w:cs="仿宋"/>
          <w:bCs/>
          <w:snapToGrid w:val="0"/>
          <w:sz w:val="24"/>
        </w:rPr>
      </w:pPr>
      <w:r>
        <w:rPr>
          <w:rFonts w:ascii="仿宋" w:eastAsia="仿宋" w:hAnsi="仿宋" w:cs="仿宋" w:hint="eastAsia"/>
          <w:bCs/>
          <w:snapToGrid w:val="0"/>
          <w:sz w:val="24"/>
        </w:rPr>
        <w:t>该标准在编制过程中无重大分歧意见。</w:t>
      </w:r>
    </w:p>
    <w:p w14:paraId="57DEEE4F" w14:textId="77777777" w:rsidR="00CA3F10" w:rsidRDefault="00CA3F10" w:rsidP="00975266">
      <w:pPr>
        <w:pStyle w:val="af3"/>
        <w:spacing w:beforeLines="50" w:before="156" w:line="240" w:lineRule="auto"/>
        <w:ind w:firstLineChars="0" w:firstLine="0"/>
        <w:rPr>
          <w:rFonts w:ascii="黑体" w:eastAsia="黑体" w:hAnsi="黑体" w:cs="黑体"/>
          <w:b/>
          <w:kern w:val="44"/>
          <w:sz w:val="28"/>
          <w:szCs w:val="28"/>
        </w:rPr>
      </w:pPr>
      <w:r>
        <w:rPr>
          <w:rFonts w:ascii="黑体" w:eastAsia="黑体" w:hAnsi="黑体" w:cs="黑体" w:hint="eastAsia"/>
          <w:b/>
          <w:kern w:val="44"/>
          <w:sz w:val="28"/>
          <w:szCs w:val="28"/>
        </w:rPr>
        <w:t>七、标准作为强制性或推荐性标准的建议</w:t>
      </w:r>
    </w:p>
    <w:p w14:paraId="1E693587" w14:textId="77777777" w:rsidR="00CA3F10" w:rsidRDefault="00CA3F10" w:rsidP="00CA3F10">
      <w:pPr>
        <w:pStyle w:val="af3"/>
        <w:spacing w:beforeLines="50" w:before="156" w:line="240" w:lineRule="auto"/>
        <w:ind w:firstLine="480"/>
        <w:rPr>
          <w:rFonts w:ascii="仿宋" w:eastAsia="仿宋" w:hAnsi="仿宋" w:cs="仿宋"/>
          <w:bCs/>
          <w:snapToGrid w:val="0"/>
          <w:sz w:val="24"/>
        </w:rPr>
      </w:pPr>
      <w:r>
        <w:rPr>
          <w:rFonts w:ascii="仿宋" w:eastAsia="仿宋" w:hAnsi="仿宋" w:cs="仿宋" w:hint="eastAsia"/>
          <w:bCs/>
          <w:snapToGrid w:val="0"/>
          <w:sz w:val="24"/>
        </w:rPr>
        <w:t>本标准为公益类标准，并不涉及有关国家安全、保护人体健康和人身财产安全、环境质量要求等有关强制性地方标准或强制性条文等的八项要求之一，因此建议作为推荐性农业行业标准发布实施。</w:t>
      </w:r>
    </w:p>
    <w:p w14:paraId="453733F1" w14:textId="77777777" w:rsidR="00CA3F10" w:rsidRDefault="00CA3F10" w:rsidP="00975266">
      <w:pPr>
        <w:pStyle w:val="af3"/>
        <w:spacing w:beforeLines="50" w:before="156" w:line="240" w:lineRule="auto"/>
        <w:ind w:firstLineChars="0" w:firstLine="0"/>
        <w:rPr>
          <w:rFonts w:ascii="黑体" w:eastAsia="黑体" w:hAnsi="黑体" w:cs="黑体"/>
          <w:b/>
          <w:kern w:val="44"/>
          <w:sz w:val="28"/>
          <w:szCs w:val="28"/>
        </w:rPr>
      </w:pPr>
      <w:r>
        <w:rPr>
          <w:rFonts w:ascii="黑体" w:eastAsia="黑体" w:hAnsi="黑体" w:cs="黑体" w:hint="eastAsia"/>
          <w:b/>
          <w:kern w:val="44"/>
          <w:sz w:val="28"/>
          <w:szCs w:val="28"/>
        </w:rPr>
        <w:lastRenderedPageBreak/>
        <w:t>八、贯彻标准的要求和措施建议</w:t>
      </w:r>
    </w:p>
    <w:p w14:paraId="71D06B5B" w14:textId="2D6BE9FE" w:rsidR="00CA3F10" w:rsidRDefault="00FE44D6" w:rsidP="00CA3F10">
      <w:pPr>
        <w:pStyle w:val="af3"/>
        <w:spacing w:beforeLines="50" w:before="156" w:line="240" w:lineRule="auto"/>
        <w:ind w:firstLine="480"/>
        <w:rPr>
          <w:rFonts w:ascii="仿宋" w:eastAsia="仿宋" w:hAnsi="仿宋" w:cs="仿宋"/>
          <w:bCs/>
          <w:snapToGrid w:val="0"/>
          <w:sz w:val="24"/>
        </w:rPr>
      </w:pPr>
      <w:r>
        <w:rPr>
          <w:rFonts w:ascii="仿宋" w:eastAsia="仿宋" w:hAnsi="仿宋" w:cs="仿宋" w:hint="eastAsia"/>
          <w:bCs/>
          <w:snapToGrid w:val="0"/>
          <w:sz w:val="24"/>
        </w:rPr>
        <w:t>无</w:t>
      </w:r>
    </w:p>
    <w:p w14:paraId="63B374D9" w14:textId="77777777" w:rsidR="00CA3F10" w:rsidRDefault="00CA3F10" w:rsidP="00975266">
      <w:pPr>
        <w:pStyle w:val="af3"/>
        <w:spacing w:beforeLines="50" w:before="156" w:line="240" w:lineRule="auto"/>
        <w:ind w:firstLineChars="0" w:firstLine="0"/>
        <w:rPr>
          <w:rFonts w:ascii="黑体" w:eastAsia="黑体" w:hAnsi="黑体" w:cs="黑体"/>
          <w:b/>
          <w:kern w:val="44"/>
          <w:sz w:val="28"/>
          <w:szCs w:val="28"/>
        </w:rPr>
      </w:pPr>
      <w:r>
        <w:rPr>
          <w:rFonts w:ascii="黑体" w:eastAsia="黑体" w:hAnsi="黑体" w:cs="黑体" w:hint="eastAsia"/>
          <w:b/>
          <w:kern w:val="44"/>
          <w:sz w:val="28"/>
          <w:szCs w:val="28"/>
        </w:rPr>
        <w:t>九、废止现行有关标准的建议</w:t>
      </w:r>
    </w:p>
    <w:p w14:paraId="76968D28" w14:textId="77777777" w:rsidR="00CA3F10" w:rsidRDefault="00CA3F10" w:rsidP="00CA3F10">
      <w:pPr>
        <w:pStyle w:val="af3"/>
        <w:spacing w:beforeLines="50" w:before="156" w:line="240" w:lineRule="auto"/>
        <w:ind w:firstLine="480"/>
        <w:rPr>
          <w:rFonts w:ascii="仿宋" w:eastAsia="仿宋" w:hAnsi="仿宋" w:cs="仿宋"/>
          <w:bCs/>
          <w:snapToGrid w:val="0"/>
          <w:sz w:val="24"/>
        </w:rPr>
      </w:pPr>
      <w:r>
        <w:rPr>
          <w:rFonts w:ascii="仿宋" w:eastAsia="仿宋" w:hAnsi="仿宋" w:cs="仿宋" w:hint="eastAsia"/>
          <w:bCs/>
          <w:snapToGrid w:val="0"/>
          <w:sz w:val="24"/>
        </w:rPr>
        <w:t>无。</w:t>
      </w:r>
    </w:p>
    <w:p w14:paraId="08B2400E" w14:textId="77777777" w:rsidR="00CA3F10" w:rsidRDefault="00CA3F10" w:rsidP="00975266">
      <w:pPr>
        <w:pStyle w:val="af3"/>
        <w:spacing w:beforeLines="50" w:before="156" w:line="240" w:lineRule="auto"/>
        <w:ind w:firstLineChars="0" w:firstLine="0"/>
        <w:rPr>
          <w:rFonts w:ascii="黑体" w:eastAsia="黑体" w:hAnsi="黑体" w:cs="黑体"/>
          <w:b/>
          <w:kern w:val="44"/>
          <w:sz w:val="28"/>
          <w:szCs w:val="28"/>
        </w:rPr>
      </w:pPr>
      <w:r>
        <w:rPr>
          <w:rFonts w:ascii="黑体" w:eastAsia="黑体" w:hAnsi="黑体" w:cs="黑体" w:hint="eastAsia"/>
          <w:b/>
          <w:kern w:val="44"/>
          <w:sz w:val="28"/>
          <w:szCs w:val="28"/>
        </w:rPr>
        <w:t>十、其他应予说明的事项</w:t>
      </w:r>
    </w:p>
    <w:p w14:paraId="39500A9D" w14:textId="77777777" w:rsidR="00CA3F10" w:rsidRDefault="00CA3F10" w:rsidP="00CA3F10">
      <w:pPr>
        <w:pStyle w:val="af3"/>
        <w:spacing w:beforeLines="50" w:before="156" w:line="240" w:lineRule="auto"/>
        <w:ind w:firstLineChars="196" w:firstLine="470"/>
        <w:rPr>
          <w:rFonts w:ascii="Times New Roman" w:eastAsia="宋体" w:cs="Times New Roman"/>
          <w:bCs/>
          <w:snapToGrid w:val="0"/>
          <w:sz w:val="24"/>
        </w:rPr>
      </w:pPr>
      <w:r>
        <w:rPr>
          <w:rFonts w:ascii="仿宋" w:eastAsia="仿宋" w:hAnsi="仿宋" w:cs="仿宋" w:hint="eastAsia"/>
          <w:bCs/>
          <w:snapToGrid w:val="0"/>
          <w:sz w:val="24"/>
        </w:rPr>
        <w:t>无。</w:t>
      </w:r>
    </w:p>
    <w:p w14:paraId="435AE748" w14:textId="77777777" w:rsidR="006A6CEF" w:rsidRDefault="006A6CEF"/>
    <w:p w14:paraId="3E64276E" w14:textId="23EEB59C" w:rsidR="001D2965" w:rsidRPr="002D1676" w:rsidRDefault="001D2965" w:rsidP="00995FDB"/>
    <w:sectPr w:rsidR="001D2965" w:rsidRPr="002D167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CC8DE" w14:textId="77777777" w:rsidR="00482526" w:rsidRDefault="00482526" w:rsidP="00A75F96">
      <w:r>
        <w:separator/>
      </w:r>
    </w:p>
  </w:endnote>
  <w:endnote w:type="continuationSeparator" w:id="0">
    <w:p w14:paraId="599EADC7" w14:textId="77777777" w:rsidR="00482526" w:rsidRDefault="00482526" w:rsidP="00A75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panose1 w:val="020B0604020202020204"/>
    <w:charset w:val="86"/>
    <w:family w:val="modern"/>
    <w:pitch w:val="fixed"/>
    <w:sig w:usb0="00000001" w:usb1="080E0000" w:usb2="0000001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altName w:val="FangSong"/>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ingFang SC">
    <w:panose1 w:val="020B0400000000000000"/>
    <w:charset w:val="86"/>
    <w:family w:val="swiss"/>
    <w:pitch w:val="variable"/>
    <w:sig w:usb0="A00002FF" w:usb1="7ACFFDFB" w:usb2="00000017" w:usb3="00000000" w:csb0="00040001"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DB666" w14:textId="77777777" w:rsidR="00482526" w:rsidRDefault="00482526" w:rsidP="00A75F96">
      <w:r>
        <w:separator/>
      </w:r>
    </w:p>
  </w:footnote>
  <w:footnote w:type="continuationSeparator" w:id="0">
    <w:p w14:paraId="1F389E02" w14:textId="77777777" w:rsidR="00482526" w:rsidRDefault="00482526" w:rsidP="00A75F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66EA"/>
    <w:multiLevelType w:val="multilevel"/>
    <w:tmpl w:val="D31E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55EC1"/>
    <w:multiLevelType w:val="hybridMultilevel"/>
    <w:tmpl w:val="D472D870"/>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88F4DB7"/>
    <w:multiLevelType w:val="multilevel"/>
    <w:tmpl w:val="34B21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0903730">
    <w:abstractNumId w:val="0"/>
  </w:num>
  <w:num w:numId="2" w16cid:durableId="24182867">
    <w:abstractNumId w:val="1"/>
  </w:num>
  <w:num w:numId="3" w16cid:durableId="12546293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B15"/>
    <w:rsid w:val="0003014B"/>
    <w:rsid w:val="00032854"/>
    <w:rsid w:val="00032DFA"/>
    <w:rsid w:val="0004797B"/>
    <w:rsid w:val="00047AF2"/>
    <w:rsid w:val="0005011D"/>
    <w:rsid w:val="000509E3"/>
    <w:rsid w:val="000542BB"/>
    <w:rsid w:val="0005582E"/>
    <w:rsid w:val="00074E6C"/>
    <w:rsid w:val="000752B9"/>
    <w:rsid w:val="00080AB1"/>
    <w:rsid w:val="00096A24"/>
    <w:rsid w:val="000A052A"/>
    <w:rsid w:val="000D537D"/>
    <w:rsid w:val="000D6B52"/>
    <w:rsid w:val="000D7541"/>
    <w:rsid w:val="000E7813"/>
    <w:rsid w:val="000F5F89"/>
    <w:rsid w:val="00101E46"/>
    <w:rsid w:val="00106E43"/>
    <w:rsid w:val="001077C7"/>
    <w:rsid w:val="0011186A"/>
    <w:rsid w:val="00123E6B"/>
    <w:rsid w:val="001243CC"/>
    <w:rsid w:val="00136342"/>
    <w:rsid w:val="0014682A"/>
    <w:rsid w:val="00164D1A"/>
    <w:rsid w:val="001707CA"/>
    <w:rsid w:val="001717BA"/>
    <w:rsid w:val="00192E89"/>
    <w:rsid w:val="001954D8"/>
    <w:rsid w:val="001A0DDF"/>
    <w:rsid w:val="001A3C81"/>
    <w:rsid w:val="001A74DD"/>
    <w:rsid w:val="001B1D61"/>
    <w:rsid w:val="001B1DF2"/>
    <w:rsid w:val="001C0428"/>
    <w:rsid w:val="001D2965"/>
    <w:rsid w:val="001E3756"/>
    <w:rsid w:val="001F0705"/>
    <w:rsid w:val="001F67E1"/>
    <w:rsid w:val="00205C71"/>
    <w:rsid w:val="00246B09"/>
    <w:rsid w:val="00252228"/>
    <w:rsid w:val="00257676"/>
    <w:rsid w:val="002917C4"/>
    <w:rsid w:val="002A274E"/>
    <w:rsid w:val="002A4FB3"/>
    <w:rsid w:val="002B4605"/>
    <w:rsid w:val="002C3843"/>
    <w:rsid w:val="002D1676"/>
    <w:rsid w:val="002E3508"/>
    <w:rsid w:val="002E408D"/>
    <w:rsid w:val="002F7C28"/>
    <w:rsid w:val="00311539"/>
    <w:rsid w:val="00324C3A"/>
    <w:rsid w:val="00334E2B"/>
    <w:rsid w:val="00335DBA"/>
    <w:rsid w:val="00356629"/>
    <w:rsid w:val="00356E18"/>
    <w:rsid w:val="00357EFD"/>
    <w:rsid w:val="003618DD"/>
    <w:rsid w:val="00370D85"/>
    <w:rsid w:val="00383199"/>
    <w:rsid w:val="003A3646"/>
    <w:rsid w:val="003B659C"/>
    <w:rsid w:val="003D079F"/>
    <w:rsid w:val="003E38EB"/>
    <w:rsid w:val="003E5CE5"/>
    <w:rsid w:val="003F14E2"/>
    <w:rsid w:val="003F39E7"/>
    <w:rsid w:val="00405D80"/>
    <w:rsid w:val="00412C0E"/>
    <w:rsid w:val="00412DB3"/>
    <w:rsid w:val="00430818"/>
    <w:rsid w:val="004352BE"/>
    <w:rsid w:val="004468AC"/>
    <w:rsid w:val="00460221"/>
    <w:rsid w:val="00482526"/>
    <w:rsid w:val="00485E5E"/>
    <w:rsid w:val="004942C3"/>
    <w:rsid w:val="004A7223"/>
    <w:rsid w:val="004B3795"/>
    <w:rsid w:val="004C063F"/>
    <w:rsid w:val="004E0085"/>
    <w:rsid w:val="004F16EA"/>
    <w:rsid w:val="0050640A"/>
    <w:rsid w:val="00512B6A"/>
    <w:rsid w:val="005132CC"/>
    <w:rsid w:val="005178E9"/>
    <w:rsid w:val="005233D8"/>
    <w:rsid w:val="005550C9"/>
    <w:rsid w:val="00572544"/>
    <w:rsid w:val="00585A1F"/>
    <w:rsid w:val="005C0E05"/>
    <w:rsid w:val="005C5254"/>
    <w:rsid w:val="005F758E"/>
    <w:rsid w:val="00614145"/>
    <w:rsid w:val="00622E03"/>
    <w:rsid w:val="0063503A"/>
    <w:rsid w:val="00647153"/>
    <w:rsid w:val="00655B4B"/>
    <w:rsid w:val="00660F94"/>
    <w:rsid w:val="0068058A"/>
    <w:rsid w:val="006814CA"/>
    <w:rsid w:val="00682DEA"/>
    <w:rsid w:val="0069109A"/>
    <w:rsid w:val="00697A6B"/>
    <w:rsid w:val="006A1F57"/>
    <w:rsid w:val="006A6CEF"/>
    <w:rsid w:val="006B1392"/>
    <w:rsid w:val="006B1E61"/>
    <w:rsid w:val="006C1BBE"/>
    <w:rsid w:val="006D5A69"/>
    <w:rsid w:val="00702622"/>
    <w:rsid w:val="00707E6B"/>
    <w:rsid w:val="00713C02"/>
    <w:rsid w:val="00724EEF"/>
    <w:rsid w:val="00743ADA"/>
    <w:rsid w:val="00751E42"/>
    <w:rsid w:val="0075576F"/>
    <w:rsid w:val="0076582D"/>
    <w:rsid w:val="007700CE"/>
    <w:rsid w:val="007803E5"/>
    <w:rsid w:val="007904C2"/>
    <w:rsid w:val="007C4B44"/>
    <w:rsid w:val="007E39A6"/>
    <w:rsid w:val="007F3C96"/>
    <w:rsid w:val="00800502"/>
    <w:rsid w:val="0080573E"/>
    <w:rsid w:val="00806504"/>
    <w:rsid w:val="008456CE"/>
    <w:rsid w:val="0085473A"/>
    <w:rsid w:val="008550F5"/>
    <w:rsid w:val="00865686"/>
    <w:rsid w:val="008670EC"/>
    <w:rsid w:val="008719F0"/>
    <w:rsid w:val="00883565"/>
    <w:rsid w:val="008A3A36"/>
    <w:rsid w:val="008A4D11"/>
    <w:rsid w:val="008A664C"/>
    <w:rsid w:val="008E1A76"/>
    <w:rsid w:val="008E1D38"/>
    <w:rsid w:val="008E5918"/>
    <w:rsid w:val="008F2887"/>
    <w:rsid w:val="008F3BBB"/>
    <w:rsid w:val="009059EF"/>
    <w:rsid w:val="00916547"/>
    <w:rsid w:val="00920C5B"/>
    <w:rsid w:val="009273A9"/>
    <w:rsid w:val="00930AAF"/>
    <w:rsid w:val="0093262C"/>
    <w:rsid w:val="0094148C"/>
    <w:rsid w:val="00941956"/>
    <w:rsid w:val="00943C88"/>
    <w:rsid w:val="0094670C"/>
    <w:rsid w:val="00963110"/>
    <w:rsid w:val="00963488"/>
    <w:rsid w:val="00963B15"/>
    <w:rsid w:val="00973D49"/>
    <w:rsid w:val="00975266"/>
    <w:rsid w:val="00995FDB"/>
    <w:rsid w:val="009A2F72"/>
    <w:rsid w:val="009A3A54"/>
    <w:rsid w:val="009B1365"/>
    <w:rsid w:val="009B74CD"/>
    <w:rsid w:val="009D0845"/>
    <w:rsid w:val="009E36DC"/>
    <w:rsid w:val="00A0622B"/>
    <w:rsid w:val="00A12F5B"/>
    <w:rsid w:val="00A20212"/>
    <w:rsid w:val="00A31B86"/>
    <w:rsid w:val="00A40A33"/>
    <w:rsid w:val="00A42881"/>
    <w:rsid w:val="00A472D8"/>
    <w:rsid w:val="00A51210"/>
    <w:rsid w:val="00A62C82"/>
    <w:rsid w:val="00A75F96"/>
    <w:rsid w:val="00A80510"/>
    <w:rsid w:val="00A9175D"/>
    <w:rsid w:val="00AA0F8C"/>
    <w:rsid w:val="00AB04C6"/>
    <w:rsid w:val="00AB60EF"/>
    <w:rsid w:val="00AD3805"/>
    <w:rsid w:val="00AD5FC2"/>
    <w:rsid w:val="00AD68D2"/>
    <w:rsid w:val="00AF1764"/>
    <w:rsid w:val="00AF711F"/>
    <w:rsid w:val="00B16878"/>
    <w:rsid w:val="00B42074"/>
    <w:rsid w:val="00B50FDF"/>
    <w:rsid w:val="00B6021A"/>
    <w:rsid w:val="00B75F53"/>
    <w:rsid w:val="00B76D2B"/>
    <w:rsid w:val="00B869F6"/>
    <w:rsid w:val="00BA2226"/>
    <w:rsid w:val="00BB5965"/>
    <w:rsid w:val="00BC6972"/>
    <w:rsid w:val="00BD3CC5"/>
    <w:rsid w:val="00BE39E6"/>
    <w:rsid w:val="00BE4E1C"/>
    <w:rsid w:val="00BE5B12"/>
    <w:rsid w:val="00BE7083"/>
    <w:rsid w:val="00BF5FBB"/>
    <w:rsid w:val="00BF6BA0"/>
    <w:rsid w:val="00BF75C5"/>
    <w:rsid w:val="00C003A5"/>
    <w:rsid w:val="00C0696B"/>
    <w:rsid w:val="00C15B33"/>
    <w:rsid w:val="00C173CD"/>
    <w:rsid w:val="00C679BB"/>
    <w:rsid w:val="00C67C05"/>
    <w:rsid w:val="00C8463A"/>
    <w:rsid w:val="00C84A29"/>
    <w:rsid w:val="00C9007D"/>
    <w:rsid w:val="00CA1377"/>
    <w:rsid w:val="00CA3F10"/>
    <w:rsid w:val="00CB35A3"/>
    <w:rsid w:val="00CB6E81"/>
    <w:rsid w:val="00CE22FB"/>
    <w:rsid w:val="00CF7321"/>
    <w:rsid w:val="00D026B0"/>
    <w:rsid w:val="00D075AA"/>
    <w:rsid w:val="00D23053"/>
    <w:rsid w:val="00D72835"/>
    <w:rsid w:val="00D76CA3"/>
    <w:rsid w:val="00D77C4F"/>
    <w:rsid w:val="00DA6180"/>
    <w:rsid w:val="00DB6F7C"/>
    <w:rsid w:val="00DD710A"/>
    <w:rsid w:val="00DF3CDA"/>
    <w:rsid w:val="00E02A83"/>
    <w:rsid w:val="00E04A39"/>
    <w:rsid w:val="00E14275"/>
    <w:rsid w:val="00E14990"/>
    <w:rsid w:val="00E20B93"/>
    <w:rsid w:val="00E37E3A"/>
    <w:rsid w:val="00E41E41"/>
    <w:rsid w:val="00E50159"/>
    <w:rsid w:val="00E545EB"/>
    <w:rsid w:val="00E62948"/>
    <w:rsid w:val="00E70AD6"/>
    <w:rsid w:val="00E81A87"/>
    <w:rsid w:val="00E86AD5"/>
    <w:rsid w:val="00E97DA6"/>
    <w:rsid w:val="00EA57AB"/>
    <w:rsid w:val="00EA68AF"/>
    <w:rsid w:val="00EB4ACF"/>
    <w:rsid w:val="00EC2E60"/>
    <w:rsid w:val="00EF20CF"/>
    <w:rsid w:val="00EF4991"/>
    <w:rsid w:val="00EF7C5C"/>
    <w:rsid w:val="00F1080F"/>
    <w:rsid w:val="00F47BDF"/>
    <w:rsid w:val="00F51307"/>
    <w:rsid w:val="00F57461"/>
    <w:rsid w:val="00F57AB0"/>
    <w:rsid w:val="00F62C50"/>
    <w:rsid w:val="00F63C36"/>
    <w:rsid w:val="00F73DF4"/>
    <w:rsid w:val="00F97E11"/>
    <w:rsid w:val="00FD5F67"/>
    <w:rsid w:val="00FE44D6"/>
    <w:rsid w:val="00FE64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B8EDC7"/>
  <w15:chartTrackingRefBased/>
  <w15:docId w15:val="{129E90AE-5337-4F6C-A052-D4CB67F69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D80"/>
    <w:rPr>
      <w:rFonts w:ascii="宋体" w:eastAsia="宋体" w:hAnsi="宋体" w:cs="宋体"/>
      <w:kern w:val="0"/>
      <w:sz w:val="24"/>
    </w:rPr>
  </w:style>
  <w:style w:type="paragraph" w:styleId="1">
    <w:name w:val="heading 1"/>
    <w:basedOn w:val="a"/>
    <w:next w:val="a"/>
    <w:link w:val="10"/>
    <w:uiPriority w:val="9"/>
    <w:qFormat/>
    <w:rsid w:val="00963B1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963B1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963B15"/>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963B15"/>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963B15"/>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rsid w:val="00963B15"/>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963B15"/>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63B15"/>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963B15"/>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63B15"/>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963B15"/>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963B15"/>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963B15"/>
    <w:rPr>
      <w:rFonts w:cstheme="majorBidi"/>
      <w:color w:val="0F4761" w:themeColor="accent1" w:themeShade="BF"/>
      <w:sz w:val="28"/>
      <w:szCs w:val="28"/>
    </w:rPr>
  </w:style>
  <w:style w:type="character" w:customStyle="1" w:styleId="50">
    <w:name w:val="标题 5 字符"/>
    <w:basedOn w:val="a0"/>
    <w:link w:val="5"/>
    <w:uiPriority w:val="9"/>
    <w:semiHidden/>
    <w:rsid w:val="00963B15"/>
    <w:rPr>
      <w:rFonts w:cstheme="majorBidi"/>
      <w:color w:val="0F4761" w:themeColor="accent1" w:themeShade="BF"/>
      <w:sz w:val="24"/>
    </w:rPr>
  </w:style>
  <w:style w:type="character" w:customStyle="1" w:styleId="60">
    <w:name w:val="标题 6 字符"/>
    <w:basedOn w:val="a0"/>
    <w:link w:val="6"/>
    <w:uiPriority w:val="9"/>
    <w:semiHidden/>
    <w:rsid w:val="00963B15"/>
    <w:rPr>
      <w:rFonts w:cstheme="majorBidi"/>
      <w:b/>
      <w:bCs/>
      <w:color w:val="0F4761" w:themeColor="accent1" w:themeShade="BF"/>
    </w:rPr>
  </w:style>
  <w:style w:type="character" w:customStyle="1" w:styleId="70">
    <w:name w:val="标题 7 字符"/>
    <w:basedOn w:val="a0"/>
    <w:link w:val="7"/>
    <w:uiPriority w:val="9"/>
    <w:semiHidden/>
    <w:rsid w:val="00963B15"/>
    <w:rPr>
      <w:rFonts w:cstheme="majorBidi"/>
      <w:b/>
      <w:bCs/>
      <w:color w:val="595959" w:themeColor="text1" w:themeTint="A6"/>
    </w:rPr>
  </w:style>
  <w:style w:type="character" w:customStyle="1" w:styleId="80">
    <w:name w:val="标题 8 字符"/>
    <w:basedOn w:val="a0"/>
    <w:link w:val="8"/>
    <w:uiPriority w:val="9"/>
    <w:semiHidden/>
    <w:rsid w:val="00963B15"/>
    <w:rPr>
      <w:rFonts w:cstheme="majorBidi"/>
      <w:color w:val="595959" w:themeColor="text1" w:themeTint="A6"/>
    </w:rPr>
  </w:style>
  <w:style w:type="character" w:customStyle="1" w:styleId="90">
    <w:name w:val="标题 9 字符"/>
    <w:basedOn w:val="a0"/>
    <w:link w:val="9"/>
    <w:uiPriority w:val="9"/>
    <w:semiHidden/>
    <w:rsid w:val="00963B15"/>
    <w:rPr>
      <w:rFonts w:eastAsiaTheme="majorEastAsia" w:cstheme="majorBidi"/>
      <w:color w:val="595959" w:themeColor="text1" w:themeTint="A6"/>
    </w:rPr>
  </w:style>
  <w:style w:type="paragraph" w:styleId="a3">
    <w:name w:val="Title"/>
    <w:basedOn w:val="a"/>
    <w:next w:val="a"/>
    <w:link w:val="a4"/>
    <w:uiPriority w:val="10"/>
    <w:qFormat/>
    <w:rsid w:val="00963B1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63B1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63B1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63B1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63B15"/>
    <w:pPr>
      <w:spacing w:before="160" w:after="160"/>
      <w:jc w:val="center"/>
    </w:pPr>
    <w:rPr>
      <w:i/>
      <w:iCs/>
      <w:color w:val="404040" w:themeColor="text1" w:themeTint="BF"/>
    </w:rPr>
  </w:style>
  <w:style w:type="character" w:customStyle="1" w:styleId="a8">
    <w:name w:val="引用 字符"/>
    <w:basedOn w:val="a0"/>
    <w:link w:val="a7"/>
    <w:uiPriority w:val="29"/>
    <w:rsid w:val="00963B15"/>
    <w:rPr>
      <w:i/>
      <w:iCs/>
      <w:color w:val="404040" w:themeColor="text1" w:themeTint="BF"/>
    </w:rPr>
  </w:style>
  <w:style w:type="paragraph" w:styleId="a9">
    <w:name w:val="List Paragraph"/>
    <w:basedOn w:val="a"/>
    <w:uiPriority w:val="34"/>
    <w:qFormat/>
    <w:rsid w:val="00963B15"/>
    <w:pPr>
      <w:ind w:left="720"/>
      <w:contextualSpacing/>
    </w:pPr>
  </w:style>
  <w:style w:type="character" w:styleId="aa">
    <w:name w:val="Intense Emphasis"/>
    <w:basedOn w:val="a0"/>
    <w:uiPriority w:val="21"/>
    <w:qFormat/>
    <w:rsid w:val="00963B15"/>
    <w:rPr>
      <w:i/>
      <w:iCs/>
      <w:color w:val="0F4761" w:themeColor="accent1" w:themeShade="BF"/>
    </w:rPr>
  </w:style>
  <w:style w:type="paragraph" w:styleId="ab">
    <w:name w:val="Intense Quote"/>
    <w:basedOn w:val="a"/>
    <w:next w:val="a"/>
    <w:link w:val="ac"/>
    <w:uiPriority w:val="30"/>
    <w:qFormat/>
    <w:rsid w:val="00963B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963B15"/>
    <w:rPr>
      <w:i/>
      <w:iCs/>
      <w:color w:val="0F4761" w:themeColor="accent1" w:themeShade="BF"/>
    </w:rPr>
  </w:style>
  <w:style w:type="character" w:styleId="ad">
    <w:name w:val="Intense Reference"/>
    <w:basedOn w:val="a0"/>
    <w:uiPriority w:val="32"/>
    <w:qFormat/>
    <w:rsid w:val="00963B15"/>
    <w:rPr>
      <w:b/>
      <w:bCs/>
      <w:smallCaps/>
      <w:color w:val="0F4761" w:themeColor="accent1" w:themeShade="BF"/>
      <w:spacing w:val="5"/>
    </w:rPr>
  </w:style>
  <w:style w:type="character" w:styleId="ae">
    <w:name w:val="Strong"/>
    <w:basedOn w:val="a0"/>
    <w:uiPriority w:val="22"/>
    <w:qFormat/>
    <w:rsid w:val="0075576F"/>
    <w:rPr>
      <w:b/>
      <w:bCs/>
    </w:rPr>
  </w:style>
  <w:style w:type="character" w:styleId="af">
    <w:name w:val="Placeholder Text"/>
    <w:basedOn w:val="a0"/>
    <w:uiPriority w:val="99"/>
    <w:semiHidden/>
    <w:rsid w:val="0050640A"/>
    <w:rPr>
      <w:color w:val="666666"/>
    </w:rPr>
  </w:style>
  <w:style w:type="character" w:styleId="af0">
    <w:name w:val="Hyperlink"/>
    <w:basedOn w:val="a0"/>
    <w:uiPriority w:val="99"/>
    <w:unhideWhenUsed/>
    <w:rsid w:val="003E5CE5"/>
    <w:rPr>
      <w:color w:val="467886" w:themeColor="hyperlink"/>
      <w:u w:val="single"/>
    </w:rPr>
  </w:style>
  <w:style w:type="character" w:styleId="af1">
    <w:name w:val="Unresolved Mention"/>
    <w:basedOn w:val="a0"/>
    <w:uiPriority w:val="99"/>
    <w:semiHidden/>
    <w:unhideWhenUsed/>
    <w:rsid w:val="003E5CE5"/>
    <w:rPr>
      <w:color w:val="605E5C"/>
      <w:shd w:val="clear" w:color="auto" w:fill="E1DFDD"/>
    </w:rPr>
  </w:style>
  <w:style w:type="paragraph" w:customStyle="1" w:styleId="af2">
    <w:name w:val="段"/>
    <w:link w:val="Char"/>
    <w:qFormat/>
    <w:rsid w:val="006A6CEF"/>
    <w:pPr>
      <w:tabs>
        <w:tab w:val="center" w:pos="4201"/>
        <w:tab w:val="right" w:leader="dot" w:pos="9298"/>
      </w:tabs>
      <w:autoSpaceDE w:val="0"/>
      <w:autoSpaceDN w:val="0"/>
      <w:ind w:firstLineChars="200" w:firstLine="420"/>
      <w:jc w:val="both"/>
    </w:pPr>
    <w:rPr>
      <w:rFonts w:ascii="宋体" w:eastAsia="宋体" w:hAnsi="Times New Roman" w:cs="Times New Roman"/>
      <w:kern w:val="0"/>
      <w:szCs w:val="20"/>
    </w:rPr>
  </w:style>
  <w:style w:type="character" w:customStyle="1" w:styleId="Char">
    <w:name w:val="段 Char"/>
    <w:link w:val="af2"/>
    <w:rsid w:val="006A6CEF"/>
    <w:rPr>
      <w:rFonts w:ascii="宋体" w:eastAsia="宋体" w:hAnsi="Times New Roman" w:cs="Times New Roman"/>
      <w:kern w:val="0"/>
      <w:szCs w:val="20"/>
    </w:rPr>
  </w:style>
  <w:style w:type="paragraph" w:styleId="af3">
    <w:name w:val="Body Text Indent"/>
    <w:basedOn w:val="a"/>
    <w:link w:val="af4"/>
    <w:qFormat/>
    <w:rsid w:val="00CA3F10"/>
    <w:pPr>
      <w:tabs>
        <w:tab w:val="left" w:pos="2268"/>
      </w:tabs>
      <w:spacing w:line="560" w:lineRule="exact"/>
      <w:ind w:firstLineChars="200" w:firstLine="600"/>
    </w:pPr>
    <w:rPr>
      <w:rFonts w:ascii="仿宋_GB2312" w:eastAsia="仿宋_GB2312" w:hAnsi="Times New Roman"/>
      <w:sz w:val="30"/>
    </w:rPr>
  </w:style>
  <w:style w:type="character" w:customStyle="1" w:styleId="af4">
    <w:name w:val="正文文本缩进 字符"/>
    <w:basedOn w:val="a0"/>
    <w:link w:val="af3"/>
    <w:qFormat/>
    <w:rsid w:val="00CA3F10"/>
    <w:rPr>
      <w:rFonts w:ascii="仿宋_GB2312" w:eastAsia="仿宋_GB2312" w:hAnsi="Times New Roman"/>
      <w:sz w:val="30"/>
    </w:rPr>
  </w:style>
  <w:style w:type="paragraph" w:styleId="af5">
    <w:name w:val="Normal (Web)"/>
    <w:basedOn w:val="a"/>
    <w:uiPriority w:val="99"/>
    <w:semiHidden/>
    <w:unhideWhenUsed/>
    <w:qFormat/>
    <w:rsid w:val="00E14275"/>
    <w:pPr>
      <w:spacing w:beforeAutospacing="1" w:afterAutospacing="1"/>
    </w:pPr>
    <w:rPr>
      <w:rFonts w:cs="Times New Roman"/>
      <w:szCs w:val="22"/>
    </w:rPr>
  </w:style>
  <w:style w:type="character" w:customStyle="1" w:styleId="apple-converted-space">
    <w:name w:val="apple-converted-space"/>
    <w:basedOn w:val="a0"/>
    <w:rsid w:val="009D0845"/>
  </w:style>
  <w:style w:type="paragraph" w:styleId="af6">
    <w:name w:val="header"/>
    <w:basedOn w:val="a"/>
    <w:link w:val="af7"/>
    <w:uiPriority w:val="99"/>
    <w:unhideWhenUsed/>
    <w:rsid w:val="00A75F96"/>
    <w:pPr>
      <w:tabs>
        <w:tab w:val="center" w:pos="4153"/>
        <w:tab w:val="right" w:pos="8306"/>
      </w:tabs>
      <w:snapToGrid w:val="0"/>
      <w:jc w:val="center"/>
    </w:pPr>
    <w:rPr>
      <w:sz w:val="18"/>
      <w:szCs w:val="18"/>
    </w:rPr>
  </w:style>
  <w:style w:type="character" w:customStyle="1" w:styleId="af7">
    <w:name w:val="页眉 字符"/>
    <w:basedOn w:val="a0"/>
    <w:link w:val="af6"/>
    <w:uiPriority w:val="99"/>
    <w:rsid w:val="00A75F96"/>
    <w:rPr>
      <w:rFonts w:ascii="宋体" w:eastAsia="宋体" w:hAnsi="宋体" w:cs="宋体"/>
      <w:kern w:val="0"/>
      <w:sz w:val="18"/>
      <w:szCs w:val="18"/>
    </w:rPr>
  </w:style>
  <w:style w:type="paragraph" w:styleId="af8">
    <w:name w:val="footer"/>
    <w:basedOn w:val="a"/>
    <w:link w:val="af9"/>
    <w:uiPriority w:val="99"/>
    <w:unhideWhenUsed/>
    <w:rsid w:val="00A75F96"/>
    <w:pPr>
      <w:tabs>
        <w:tab w:val="center" w:pos="4153"/>
        <w:tab w:val="right" w:pos="8306"/>
      </w:tabs>
      <w:snapToGrid w:val="0"/>
    </w:pPr>
    <w:rPr>
      <w:sz w:val="18"/>
      <w:szCs w:val="18"/>
    </w:rPr>
  </w:style>
  <w:style w:type="character" w:customStyle="1" w:styleId="af9">
    <w:name w:val="页脚 字符"/>
    <w:basedOn w:val="a0"/>
    <w:link w:val="af8"/>
    <w:uiPriority w:val="99"/>
    <w:rsid w:val="00A75F96"/>
    <w:rPr>
      <w:rFonts w:ascii="宋体" w:eastAsia="宋体" w:hAnsi="宋体" w:cs="宋体"/>
      <w:kern w:val="0"/>
      <w:sz w:val="18"/>
      <w:szCs w:val="18"/>
    </w:rPr>
  </w:style>
  <w:style w:type="table" w:styleId="afa">
    <w:name w:val="Table Grid"/>
    <w:basedOn w:val="a1"/>
    <w:uiPriority w:val="39"/>
    <w:rsid w:val="00A75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963488"/>
    <w:rPr>
      <w:rFonts w:ascii="宋体" w:eastAsia="宋体" w:hAnsi="宋体" w:cs="宋体"/>
      <w:kern w:val="0"/>
      <w:sz w:val="24"/>
    </w:rPr>
  </w:style>
  <w:style w:type="character" w:styleId="afc">
    <w:name w:val="annotation reference"/>
    <w:basedOn w:val="a0"/>
    <w:uiPriority w:val="99"/>
    <w:semiHidden/>
    <w:unhideWhenUsed/>
    <w:rsid w:val="000A052A"/>
    <w:rPr>
      <w:sz w:val="21"/>
      <w:szCs w:val="21"/>
    </w:rPr>
  </w:style>
  <w:style w:type="paragraph" w:styleId="afd">
    <w:name w:val="annotation text"/>
    <w:basedOn w:val="a"/>
    <w:link w:val="afe"/>
    <w:uiPriority w:val="99"/>
    <w:semiHidden/>
    <w:unhideWhenUsed/>
    <w:rsid w:val="000A052A"/>
  </w:style>
  <w:style w:type="character" w:customStyle="1" w:styleId="afe">
    <w:name w:val="批注文字 字符"/>
    <w:basedOn w:val="a0"/>
    <w:link w:val="afd"/>
    <w:uiPriority w:val="99"/>
    <w:semiHidden/>
    <w:rsid w:val="000A052A"/>
    <w:rPr>
      <w:rFonts w:ascii="宋体" w:eastAsia="宋体" w:hAnsi="宋体" w:cs="宋体"/>
      <w:kern w:val="0"/>
      <w:sz w:val="24"/>
    </w:rPr>
  </w:style>
  <w:style w:type="paragraph" w:styleId="aff">
    <w:name w:val="annotation subject"/>
    <w:basedOn w:val="afd"/>
    <w:next w:val="afd"/>
    <w:link w:val="aff0"/>
    <w:uiPriority w:val="99"/>
    <w:semiHidden/>
    <w:unhideWhenUsed/>
    <w:rsid w:val="000A052A"/>
    <w:rPr>
      <w:b/>
      <w:bCs/>
    </w:rPr>
  </w:style>
  <w:style w:type="character" w:customStyle="1" w:styleId="aff0">
    <w:name w:val="批注主题 字符"/>
    <w:basedOn w:val="afe"/>
    <w:link w:val="aff"/>
    <w:uiPriority w:val="99"/>
    <w:semiHidden/>
    <w:rsid w:val="000A052A"/>
    <w:rPr>
      <w:rFonts w:ascii="宋体" w:eastAsia="宋体" w:hAnsi="宋体" w:cs="宋体"/>
      <w:b/>
      <w:bCs/>
      <w:kern w:val="0"/>
      <w:sz w:val="24"/>
    </w:rPr>
  </w:style>
  <w:style w:type="paragraph" w:styleId="aff1">
    <w:name w:val="Date"/>
    <w:basedOn w:val="a"/>
    <w:next w:val="a"/>
    <w:link w:val="aff2"/>
    <w:uiPriority w:val="99"/>
    <w:semiHidden/>
    <w:unhideWhenUsed/>
    <w:rsid w:val="00C679BB"/>
    <w:pPr>
      <w:ind w:leftChars="2500" w:left="100"/>
    </w:pPr>
  </w:style>
  <w:style w:type="character" w:customStyle="1" w:styleId="aff2">
    <w:name w:val="日期 字符"/>
    <w:basedOn w:val="a0"/>
    <w:link w:val="aff1"/>
    <w:uiPriority w:val="99"/>
    <w:semiHidden/>
    <w:rsid w:val="00C679BB"/>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8029">
      <w:bodyDiv w:val="1"/>
      <w:marLeft w:val="0"/>
      <w:marRight w:val="0"/>
      <w:marTop w:val="0"/>
      <w:marBottom w:val="0"/>
      <w:divBdr>
        <w:top w:val="none" w:sz="0" w:space="0" w:color="auto"/>
        <w:left w:val="none" w:sz="0" w:space="0" w:color="auto"/>
        <w:bottom w:val="none" w:sz="0" w:space="0" w:color="auto"/>
        <w:right w:val="none" w:sz="0" w:space="0" w:color="auto"/>
      </w:divBdr>
      <w:divsChild>
        <w:div w:id="753936964">
          <w:marLeft w:val="0"/>
          <w:marRight w:val="0"/>
          <w:marTop w:val="0"/>
          <w:marBottom w:val="0"/>
          <w:divBdr>
            <w:top w:val="none" w:sz="0" w:space="0" w:color="auto"/>
            <w:left w:val="none" w:sz="0" w:space="0" w:color="auto"/>
            <w:bottom w:val="none" w:sz="0" w:space="0" w:color="auto"/>
            <w:right w:val="none" w:sz="0" w:space="0" w:color="auto"/>
          </w:divBdr>
          <w:divsChild>
            <w:div w:id="142784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0823">
      <w:bodyDiv w:val="1"/>
      <w:marLeft w:val="0"/>
      <w:marRight w:val="0"/>
      <w:marTop w:val="0"/>
      <w:marBottom w:val="0"/>
      <w:divBdr>
        <w:top w:val="none" w:sz="0" w:space="0" w:color="auto"/>
        <w:left w:val="none" w:sz="0" w:space="0" w:color="auto"/>
        <w:bottom w:val="none" w:sz="0" w:space="0" w:color="auto"/>
        <w:right w:val="none" w:sz="0" w:space="0" w:color="auto"/>
      </w:divBdr>
    </w:div>
    <w:div w:id="70346863">
      <w:bodyDiv w:val="1"/>
      <w:marLeft w:val="0"/>
      <w:marRight w:val="0"/>
      <w:marTop w:val="0"/>
      <w:marBottom w:val="0"/>
      <w:divBdr>
        <w:top w:val="none" w:sz="0" w:space="0" w:color="auto"/>
        <w:left w:val="none" w:sz="0" w:space="0" w:color="auto"/>
        <w:bottom w:val="none" w:sz="0" w:space="0" w:color="auto"/>
        <w:right w:val="none" w:sz="0" w:space="0" w:color="auto"/>
      </w:divBdr>
    </w:div>
    <w:div w:id="134835392">
      <w:bodyDiv w:val="1"/>
      <w:marLeft w:val="0"/>
      <w:marRight w:val="0"/>
      <w:marTop w:val="0"/>
      <w:marBottom w:val="0"/>
      <w:divBdr>
        <w:top w:val="none" w:sz="0" w:space="0" w:color="auto"/>
        <w:left w:val="none" w:sz="0" w:space="0" w:color="auto"/>
        <w:bottom w:val="none" w:sz="0" w:space="0" w:color="auto"/>
        <w:right w:val="none" w:sz="0" w:space="0" w:color="auto"/>
      </w:divBdr>
    </w:div>
    <w:div w:id="199784207">
      <w:bodyDiv w:val="1"/>
      <w:marLeft w:val="0"/>
      <w:marRight w:val="0"/>
      <w:marTop w:val="0"/>
      <w:marBottom w:val="0"/>
      <w:divBdr>
        <w:top w:val="none" w:sz="0" w:space="0" w:color="auto"/>
        <w:left w:val="none" w:sz="0" w:space="0" w:color="auto"/>
        <w:bottom w:val="none" w:sz="0" w:space="0" w:color="auto"/>
        <w:right w:val="none" w:sz="0" w:space="0" w:color="auto"/>
      </w:divBdr>
    </w:div>
    <w:div w:id="212812599">
      <w:bodyDiv w:val="1"/>
      <w:marLeft w:val="0"/>
      <w:marRight w:val="0"/>
      <w:marTop w:val="0"/>
      <w:marBottom w:val="0"/>
      <w:divBdr>
        <w:top w:val="none" w:sz="0" w:space="0" w:color="auto"/>
        <w:left w:val="none" w:sz="0" w:space="0" w:color="auto"/>
        <w:bottom w:val="none" w:sz="0" w:space="0" w:color="auto"/>
        <w:right w:val="none" w:sz="0" w:space="0" w:color="auto"/>
      </w:divBdr>
    </w:div>
    <w:div w:id="219361775">
      <w:bodyDiv w:val="1"/>
      <w:marLeft w:val="0"/>
      <w:marRight w:val="0"/>
      <w:marTop w:val="0"/>
      <w:marBottom w:val="0"/>
      <w:divBdr>
        <w:top w:val="none" w:sz="0" w:space="0" w:color="auto"/>
        <w:left w:val="none" w:sz="0" w:space="0" w:color="auto"/>
        <w:bottom w:val="none" w:sz="0" w:space="0" w:color="auto"/>
        <w:right w:val="none" w:sz="0" w:space="0" w:color="auto"/>
      </w:divBdr>
    </w:div>
    <w:div w:id="236134388">
      <w:bodyDiv w:val="1"/>
      <w:marLeft w:val="0"/>
      <w:marRight w:val="0"/>
      <w:marTop w:val="0"/>
      <w:marBottom w:val="0"/>
      <w:divBdr>
        <w:top w:val="none" w:sz="0" w:space="0" w:color="auto"/>
        <w:left w:val="none" w:sz="0" w:space="0" w:color="auto"/>
        <w:bottom w:val="none" w:sz="0" w:space="0" w:color="auto"/>
        <w:right w:val="none" w:sz="0" w:space="0" w:color="auto"/>
      </w:divBdr>
    </w:div>
    <w:div w:id="367067225">
      <w:bodyDiv w:val="1"/>
      <w:marLeft w:val="0"/>
      <w:marRight w:val="0"/>
      <w:marTop w:val="0"/>
      <w:marBottom w:val="0"/>
      <w:divBdr>
        <w:top w:val="none" w:sz="0" w:space="0" w:color="auto"/>
        <w:left w:val="none" w:sz="0" w:space="0" w:color="auto"/>
        <w:bottom w:val="none" w:sz="0" w:space="0" w:color="auto"/>
        <w:right w:val="none" w:sz="0" w:space="0" w:color="auto"/>
      </w:divBdr>
    </w:div>
    <w:div w:id="377239236">
      <w:bodyDiv w:val="1"/>
      <w:marLeft w:val="0"/>
      <w:marRight w:val="0"/>
      <w:marTop w:val="0"/>
      <w:marBottom w:val="0"/>
      <w:divBdr>
        <w:top w:val="none" w:sz="0" w:space="0" w:color="auto"/>
        <w:left w:val="none" w:sz="0" w:space="0" w:color="auto"/>
        <w:bottom w:val="none" w:sz="0" w:space="0" w:color="auto"/>
        <w:right w:val="none" w:sz="0" w:space="0" w:color="auto"/>
      </w:divBdr>
    </w:div>
    <w:div w:id="388651768">
      <w:bodyDiv w:val="1"/>
      <w:marLeft w:val="0"/>
      <w:marRight w:val="0"/>
      <w:marTop w:val="0"/>
      <w:marBottom w:val="0"/>
      <w:divBdr>
        <w:top w:val="none" w:sz="0" w:space="0" w:color="auto"/>
        <w:left w:val="none" w:sz="0" w:space="0" w:color="auto"/>
        <w:bottom w:val="none" w:sz="0" w:space="0" w:color="auto"/>
        <w:right w:val="none" w:sz="0" w:space="0" w:color="auto"/>
      </w:divBdr>
      <w:divsChild>
        <w:div w:id="1877429337">
          <w:marLeft w:val="0"/>
          <w:marRight w:val="0"/>
          <w:marTop w:val="0"/>
          <w:marBottom w:val="0"/>
          <w:divBdr>
            <w:top w:val="none" w:sz="0" w:space="0" w:color="auto"/>
            <w:left w:val="none" w:sz="0" w:space="0" w:color="auto"/>
            <w:bottom w:val="none" w:sz="0" w:space="0" w:color="auto"/>
            <w:right w:val="none" w:sz="0" w:space="0" w:color="auto"/>
          </w:divBdr>
          <w:divsChild>
            <w:div w:id="138683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66518">
      <w:bodyDiv w:val="1"/>
      <w:marLeft w:val="0"/>
      <w:marRight w:val="0"/>
      <w:marTop w:val="0"/>
      <w:marBottom w:val="0"/>
      <w:divBdr>
        <w:top w:val="none" w:sz="0" w:space="0" w:color="auto"/>
        <w:left w:val="none" w:sz="0" w:space="0" w:color="auto"/>
        <w:bottom w:val="none" w:sz="0" w:space="0" w:color="auto"/>
        <w:right w:val="none" w:sz="0" w:space="0" w:color="auto"/>
      </w:divBdr>
    </w:div>
    <w:div w:id="990065497">
      <w:bodyDiv w:val="1"/>
      <w:marLeft w:val="0"/>
      <w:marRight w:val="0"/>
      <w:marTop w:val="0"/>
      <w:marBottom w:val="0"/>
      <w:divBdr>
        <w:top w:val="none" w:sz="0" w:space="0" w:color="auto"/>
        <w:left w:val="none" w:sz="0" w:space="0" w:color="auto"/>
        <w:bottom w:val="none" w:sz="0" w:space="0" w:color="auto"/>
        <w:right w:val="none" w:sz="0" w:space="0" w:color="auto"/>
      </w:divBdr>
    </w:div>
    <w:div w:id="1077484754">
      <w:bodyDiv w:val="1"/>
      <w:marLeft w:val="0"/>
      <w:marRight w:val="0"/>
      <w:marTop w:val="0"/>
      <w:marBottom w:val="0"/>
      <w:divBdr>
        <w:top w:val="none" w:sz="0" w:space="0" w:color="auto"/>
        <w:left w:val="none" w:sz="0" w:space="0" w:color="auto"/>
        <w:bottom w:val="none" w:sz="0" w:space="0" w:color="auto"/>
        <w:right w:val="none" w:sz="0" w:space="0" w:color="auto"/>
      </w:divBdr>
    </w:div>
    <w:div w:id="1104878960">
      <w:bodyDiv w:val="1"/>
      <w:marLeft w:val="0"/>
      <w:marRight w:val="0"/>
      <w:marTop w:val="0"/>
      <w:marBottom w:val="0"/>
      <w:divBdr>
        <w:top w:val="none" w:sz="0" w:space="0" w:color="auto"/>
        <w:left w:val="none" w:sz="0" w:space="0" w:color="auto"/>
        <w:bottom w:val="none" w:sz="0" w:space="0" w:color="auto"/>
        <w:right w:val="none" w:sz="0" w:space="0" w:color="auto"/>
      </w:divBdr>
    </w:div>
    <w:div w:id="1130631793">
      <w:bodyDiv w:val="1"/>
      <w:marLeft w:val="0"/>
      <w:marRight w:val="0"/>
      <w:marTop w:val="0"/>
      <w:marBottom w:val="0"/>
      <w:divBdr>
        <w:top w:val="none" w:sz="0" w:space="0" w:color="auto"/>
        <w:left w:val="none" w:sz="0" w:space="0" w:color="auto"/>
        <w:bottom w:val="none" w:sz="0" w:space="0" w:color="auto"/>
        <w:right w:val="none" w:sz="0" w:space="0" w:color="auto"/>
      </w:divBdr>
    </w:div>
    <w:div w:id="1150638979">
      <w:bodyDiv w:val="1"/>
      <w:marLeft w:val="0"/>
      <w:marRight w:val="0"/>
      <w:marTop w:val="0"/>
      <w:marBottom w:val="0"/>
      <w:divBdr>
        <w:top w:val="none" w:sz="0" w:space="0" w:color="auto"/>
        <w:left w:val="none" w:sz="0" w:space="0" w:color="auto"/>
        <w:bottom w:val="none" w:sz="0" w:space="0" w:color="auto"/>
        <w:right w:val="none" w:sz="0" w:space="0" w:color="auto"/>
      </w:divBdr>
    </w:div>
    <w:div w:id="1181701484">
      <w:bodyDiv w:val="1"/>
      <w:marLeft w:val="0"/>
      <w:marRight w:val="0"/>
      <w:marTop w:val="0"/>
      <w:marBottom w:val="0"/>
      <w:divBdr>
        <w:top w:val="none" w:sz="0" w:space="0" w:color="auto"/>
        <w:left w:val="none" w:sz="0" w:space="0" w:color="auto"/>
        <w:bottom w:val="none" w:sz="0" w:space="0" w:color="auto"/>
        <w:right w:val="none" w:sz="0" w:space="0" w:color="auto"/>
      </w:divBdr>
    </w:div>
    <w:div w:id="1411464916">
      <w:bodyDiv w:val="1"/>
      <w:marLeft w:val="0"/>
      <w:marRight w:val="0"/>
      <w:marTop w:val="0"/>
      <w:marBottom w:val="0"/>
      <w:divBdr>
        <w:top w:val="none" w:sz="0" w:space="0" w:color="auto"/>
        <w:left w:val="none" w:sz="0" w:space="0" w:color="auto"/>
        <w:bottom w:val="none" w:sz="0" w:space="0" w:color="auto"/>
        <w:right w:val="none" w:sz="0" w:space="0" w:color="auto"/>
      </w:divBdr>
    </w:div>
    <w:div w:id="1618754356">
      <w:bodyDiv w:val="1"/>
      <w:marLeft w:val="0"/>
      <w:marRight w:val="0"/>
      <w:marTop w:val="0"/>
      <w:marBottom w:val="0"/>
      <w:divBdr>
        <w:top w:val="none" w:sz="0" w:space="0" w:color="auto"/>
        <w:left w:val="none" w:sz="0" w:space="0" w:color="auto"/>
        <w:bottom w:val="none" w:sz="0" w:space="0" w:color="auto"/>
        <w:right w:val="none" w:sz="0" w:space="0" w:color="auto"/>
      </w:divBdr>
    </w:div>
    <w:div w:id="1621766073">
      <w:bodyDiv w:val="1"/>
      <w:marLeft w:val="0"/>
      <w:marRight w:val="0"/>
      <w:marTop w:val="0"/>
      <w:marBottom w:val="0"/>
      <w:divBdr>
        <w:top w:val="none" w:sz="0" w:space="0" w:color="auto"/>
        <w:left w:val="none" w:sz="0" w:space="0" w:color="auto"/>
        <w:bottom w:val="none" w:sz="0" w:space="0" w:color="auto"/>
        <w:right w:val="none" w:sz="0" w:space="0" w:color="auto"/>
      </w:divBdr>
    </w:div>
    <w:div w:id="1710913878">
      <w:bodyDiv w:val="1"/>
      <w:marLeft w:val="0"/>
      <w:marRight w:val="0"/>
      <w:marTop w:val="0"/>
      <w:marBottom w:val="0"/>
      <w:divBdr>
        <w:top w:val="none" w:sz="0" w:space="0" w:color="auto"/>
        <w:left w:val="none" w:sz="0" w:space="0" w:color="auto"/>
        <w:bottom w:val="none" w:sz="0" w:space="0" w:color="auto"/>
        <w:right w:val="none" w:sz="0" w:space="0" w:color="auto"/>
      </w:divBdr>
    </w:div>
    <w:div w:id="1761217928">
      <w:bodyDiv w:val="1"/>
      <w:marLeft w:val="0"/>
      <w:marRight w:val="0"/>
      <w:marTop w:val="0"/>
      <w:marBottom w:val="0"/>
      <w:divBdr>
        <w:top w:val="none" w:sz="0" w:space="0" w:color="auto"/>
        <w:left w:val="none" w:sz="0" w:space="0" w:color="auto"/>
        <w:bottom w:val="none" w:sz="0" w:space="0" w:color="auto"/>
        <w:right w:val="none" w:sz="0" w:space="0" w:color="auto"/>
      </w:divBdr>
    </w:div>
    <w:div w:id="1807121759">
      <w:bodyDiv w:val="1"/>
      <w:marLeft w:val="0"/>
      <w:marRight w:val="0"/>
      <w:marTop w:val="0"/>
      <w:marBottom w:val="0"/>
      <w:divBdr>
        <w:top w:val="none" w:sz="0" w:space="0" w:color="auto"/>
        <w:left w:val="none" w:sz="0" w:space="0" w:color="auto"/>
        <w:bottom w:val="none" w:sz="0" w:space="0" w:color="auto"/>
        <w:right w:val="none" w:sz="0" w:space="0" w:color="auto"/>
      </w:divBdr>
    </w:div>
    <w:div w:id="1813868378">
      <w:bodyDiv w:val="1"/>
      <w:marLeft w:val="0"/>
      <w:marRight w:val="0"/>
      <w:marTop w:val="0"/>
      <w:marBottom w:val="0"/>
      <w:divBdr>
        <w:top w:val="none" w:sz="0" w:space="0" w:color="auto"/>
        <w:left w:val="none" w:sz="0" w:space="0" w:color="auto"/>
        <w:bottom w:val="none" w:sz="0" w:space="0" w:color="auto"/>
        <w:right w:val="none" w:sz="0" w:space="0" w:color="auto"/>
      </w:divBdr>
    </w:div>
    <w:div w:id="1860656066">
      <w:bodyDiv w:val="1"/>
      <w:marLeft w:val="0"/>
      <w:marRight w:val="0"/>
      <w:marTop w:val="0"/>
      <w:marBottom w:val="0"/>
      <w:divBdr>
        <w:top w:val="none" w:sz="0" w:space="0" w:color="auto"/>
        <w:left w:val="none" w:sz="0" w:space="0" w:color="auto"/>
        <w:bottom w:val="none" w:sz="0" w:space="0" w:color="auto"/>
        <w:right w:val="none" w:sz="0" w:space="0" w:color="auto"/>
      </w:divBdr>
    </w:div>
    <w:div w:id="1876043935">
      <w:bodyDiv w:val="1"/>
      <w:marLeft w:val="0"/>
      <w:marRight w:val="0"/>
      <w:marTop w:val="0"/>
      <w:marBottom w:val="0"/>
      <w:divBdr>
        <w:top w:val="none" w:sz="0" w:space="0" w:color="auto"/>
        <w:left w:val="none" w:sz="0" w:space="0" w:color="auto"/>
        <w:bottom w:val="none" w:sz="0" w:space="0" w:color="auto"/>
        <w:right w:val="none" w:sz="0" w:space="0" w:color="auto"/>
      </w:divBdr>
    </w:div>
    <w:div w:id="1886408892">
      <w:bodyDiv w:val="1"/>
      <w:marLeft w:val="0"/>
      <w:marRight w:val="0"/>
      <w:marTop w:val="0"/>
      <w:marBottom w:val="0"/>
      <w:divBdr>
        <w:top w:val="none" w:sz="0" w:space="0" w:color="auto"/>
        <w:left w:val="none" w:sz="0" w:space="0" w:color="auto"/>
        <w:bottom w:val="none" w:sz="0" w:space="0" w:color="auto"/>
        <w:right w:val="none" w:sz="0" w:space="0" w:color="auto"/>
      </w:divBdr>
    </w:div>
    <w:div w:id="1912735082">
      <w:bodyDiv w:val="1"/>
      <w:marLeft w:val="0"/>
      <w:marRight w:val="0"/>
      <w:marTop w:val="0"/>
      <w:marBottom w:val="0"/>
      <w:divBdr>
        <w:top w:val="none" w:sz="0" w:space="0" w:color="auto"/>
        <w:left w:val="none" w:sz="0" w:space="0" w:color="auto"/>
        <w:bottom w:val="none" w:sz="0" w:space="0" w:color="auto"/>
        <w:right w:val="none" w:sz="0" w:space="0" w:color="auto"/>
      </w:divBdr>
    </w:div>
    <w:div w:id="1917668929">
      <w:bodyDiv w:val="1"/>
      <w:marLeft w:val="0"/>
      <w:marRight w:val="0"/>
      <w:marTop w:val="0"/>
      <w:marBottom w:val="0"/>
      <w:divBdr>
        <w:top w:val="none" w:sz="0" w:space="0" w:color="auto"/>
        <w:left w:val="none" w:sz="0" w:space="0" w:color="auto"/>
        <w:bottom w:val="none" w:sz="0" w:space="0" w:color="auto"/>
        <w:right w:val="none" w:sz="0" w:space="0" w:color="auto"/>
      </w:divBdr>
    </w:div>
    <w:div w:id="1952859775">
      <w:bodyDiv w:val="1"/>
      <w:marLeft w:val="0"/>
      <w:marRight w:val="0"/>
      <w:marTop w:val="0"/>
      <w:marBottom w:val="0"/>
      <w:divBdr>
        <w:top w:val="none" w:sz="0" w:space="0" w:color="auto"/>
        <w:left w:val="none" w:sz="0" w:space="0" w:color="auto"/>
        <w:bottom w:val="none" w:sz="0" w:space="0" w:color="auto"/>
        <w:right w:val="none" w:sz="0" w:space="0" w:color="auto"/>
      </w:divBdr>
    </w:div>
    <w:div w:id="1952936425">
      <w:bodyDiv w:val="1"/>
      <w:marLeft w:val="0"/>
      <w:marRight w:val="0"/>
      <w:marTop w:val="0"/>
      <w:marBottom w:val="0"/>
      <w:divBdr>
        <w:top w:val="none" w:sz="0" w:space="0" w:color="auto"/>
        <w:left w:val="none" w:sz="0" w:space="0" w:color="auto"/>
        <w:bottom w:val="none" w:sz="0" w:space="0" w:color="auto"/>
        <w:right w:val="none" w:sz="0" w:space="0" w:color="auto"/>
      </w:divBdr>
    </w:div>
    <w:div w:id="214580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016/j.molp.2025.03.007"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766</TotalTime>
  <Pages>16</Pages>
  <Words>1695</Words>
  <Characters>9664</Characters>
  <Application>Microsoft Office Word</Application>
  <DocSecurity>0</DocSecurity>
  <Lines>80</Lines>
  <Paragraphs>22</Paragraphs>
  <ScaleCrop>false</ScaleCrop>
  <Company/>
  <LinksUpToDate>false</LinksUpToDate>
  <CharactersWithSpaces>11337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qiang lin</dc:creator>
  <cp:keywords/>
  <dc:description/>
  <cp:lastModifiedBy>qiang lin</cp:lastModifiedBy>
  <cp:revision>13</cp:revision>
  <dcterms:created xsi:type="dcterms:W3CDTF">2025-05-26T07:01:00Z</dcterms:created>
  <dcterms:modified xsi:type="dcterms:W3CDTF">2025-10-10T05:23:00Z</dcterms:modified>
</cp:coreProperties>
</file>